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spacing w:line="380" w:lineRule="exact"/>
        <w:ind w:firstLine="880" w:firstLineChars="200"/>
        <w:textAlignment w:val="baseline"/>
        <w:rPr>
          <w:rFonts w:hint="eastAsia" w:ascii="黑体" w:hAnsi="黑体" w:eastAsia="黑体" w:cs="Times New Roman"/>
          <w:sz w:val="44"/>
          <w:szCs w:val="44"/>
        </w:rPr>
      </w:pPr>
      <w:bookmarkStart w:id="0" w:name="_Toc12751"/>
      <w:r>
        <w:rPr>
          <w:rFonts w:hint="eastAsia" w:ascii="黑体" w:hAnsi="黑体" w:eastAsia="黑体" w:cs="Times New Roman"/>
          <w:sz w:val="44"/>
          <w:szCs w:val="44"/>
        </w:rPr>
        <w:t>湖北省</w:t>
      </w:r>
      <w:r>
        <w:rPr>
          <w:rFonts w:ascii="黑体" w:hAnsi="黑体" w:eastAsia="黑体" w:cs="Times New Roman"/>
          <w:sz w:val="44"/>
          <w:szCs w:val="44"/>
        </w:rPr>
        <w:t>涉企收费目录清单</w:t>
      </w:r>
    </w:p>
    <w:p>
      <w:pPr>
        <w:widowControl/>
        <w:autoSpaceDE w:val="0"/>
        <w:autoSpaceDN w:val="0"/>
        <w:spacing w:line="360" w:lineRule="auto"/>
        <w:ind w:firstLine="600" w:firstLineChars="200"/>
        <w:textAlignment w:val="baseline"/>
        <w:rPr>
          <w:rFonts w:ascii="仿宋_GB2312" w:hAnsi="Times New Roman" w:eastAsia="仿宋_GB2312" w:cs="Times New Roman"/>
          <w:sz w:val="30"/>
          <w:szCs w:val="30"/>
        </w:rPr>
      </w:pPr>
    </w:p>
    <w:p>
      <w:pPr>
        <w:widowControl/>
        <w:autoSpaceDE w:val="0"/>
        <w:autoSpaceDN w:val="0"/>
        <w:spacing w:line="360" w:lineRule="auto"/>
        <w:ind w:firstLine="600" w:firstLineChars="200"/>
        <w:textAlignment w:val="baseline"/>
        <w:rPr>
          <w:rFonts w:hint="eastAsia" w:ascii="仿宋_GB2312" w:hAnsi="Times New Roman" w:eastAsia="仿宋_GB2312" w:cs="Times New Roman"/>
          <w:sz w:val="30"/>
          <w:szCs w:val="30"/>
        </w:rPr>
        <w:sectPr>
          <w:footerReference r:id="rId3" w:type="default"/>
          <w:pgSz w:w="8390" w:h="11905"/>
          <w:pgMar w:top="1440" w:right="1032" w:bottom="1389" w:left="1032" w:header="0" w:footer="998" w:gutter="0"/>
          <w:pgNumType w:start="1"/>
          <w:cols w:space="0" w:num="1"/>
        </w:sectPr>
      </w:pPr>
      <w:r>
        <w:rPr>
          <w:rFonts w:hint="eastAsia" w:ascii="仿宋_GB2312" w:hAnsi="Times New Roman" w:eastAsia="仿宋_GB2312" w:cs="Times New Roman"/>
          <w:sz w:val="30"/>
          <w:szCs w:val="30"/>
        </w:rPr>
        <w:t>深入推进收费清理改革，是减轻企业负担、激励投资创业、服务实体经济的重要举措，也是深化行政管理体制改革，建设法治政府、创新政府、廉洁政府和服务型政府的迫切要求。党中央、国务院高度重视，多次部署，大力清理和规范涉企收费，优化实体经济发展环境。2014年6月，国务院办公厅印发通知，要求建立和实施涉企收费目录清单制度，清单之外的涉企收费，一律不得执行。近年来，中央和省级政府性基金、涉企行政事业性收费、涉企保证金、行政处罚、行政检查等清单陆续公布。现</w:t>
      </w:r>
      <w:r>
        <w:rPr>
          <w:rFonts w:ascii="仿宋_GB2312" w:hAnsi="Times New Roman" w:eastAsia="仿宋_GB2312" w:cs="Times New Roman"/>
          <w:sz w:val="30"/>
          <w:szCs w:val="30"/>
        </w:rPr>
        <w:t>根据政策要求，将我省涉企收费目录清单予以公示，</w:t>
      </w:r>
      <w:r>
        <w:rPr>
          <w:rFonts w:hint="eastAsia" w:ascii="仿宋_GB2312" w:hAnsi="Times New Roman" w:eastAsia="仿宋_GB2312" w:cs="Times New Roman"/>
          <w:sz w:val="30"/>
          <w:szCs w:val="30"/>
        </w:rPr>
        <w:t>接受社会监督（目录清单表格详见附录一、二、三、四）。</w:t>
      </w:r>
    </w:p>
    <w:bookmarkEnd w:id="0"/>
    <w:p>
      <w:pPr>
        <w:rPr>
          <w:rFonts w:hint="eastAsia" w:ascii="Times New Roman" w:hAnsi="Times New Roman" w:eastAsia="方正仿宋_GBK" w:cs="Times New Roman"/>
          <w:szCs w:val="21"/>
        </w:rPr>
      </w:pPr>
    </w:p>
    <w:p>
      <w:pPr>
        <w:rPr>
          <w:rFonts w:ascii="Times New Roman" w:hAnsi="Times New Roman" w:eastAsia="方正仿宋_GBK" w:cs="Times New Roman"/>
          <w:szCs w:val="21"/>
        </w:rPr>
      </w:pPr>
    </w:p>
    <w:p>
      <w:pPr>
        <w:pStyle w:val="2"/>
        <w:widowControl/>
        <w:shd w:val="clear" w:color="auto" w:fill="FFFFFF"/>
        <w:snapToGrid w:val="0"/>
        <w:spacing w:before="0" w:beforeAutospacing="0" w:after="0" w:afterAutospacing="0"/>
        <w:jc w:val="center"/>
        <w:rPr>
          <w:rFonts w:hint="default" w:ascii="方正黑体_GBK" w:hAnsi="方正黑体_GBK" w:eastAsia="方正黑体_GBK" w:cs="方正黑体_GBK"/>
          <w:b w:val="0"/>
          <w:bCs/>
          <w:sz w:val="24"/>
          <w:szCs w:val="24"/>
          <w:shd w:val="clear" w:color="auto" w:fill="FFFFFF"/>
        </w:rPr>
      </w:pPr>
      <w:r>
        <w:rPr>
          <w:rFonts w:ascii="方正黑体_GBK" w:hAnsi="方正黑体_GBK" w:eastAsia="方正黑体_GBK" w:cs="方正黑体_GBK"/>
          <w:b w:val="0"/>
          <w:bCs/>
          <w:sz w:val="24"/>
          <w:szCs w:val="24"/>
          <w:shd w:val="clear" w:color="auto" w:fill="FFFFFF"/>
        </w:rPr>
        <w:t>附件一：湖北省及省直部门和单位涉企行政事业性收费项目清单(2021年11月27日)</w:t>
      </w:r>
    </w:p>
    <w:tbl>
      <w:tblPr>
        <w:tblStyle w:val="9"/>
        <w:tblW w:w="5450" w:type="pct"/>
        <w:jc w:val="center"/>
        <w:tblLayout w:type="fixed"/>
        <w:tblCellMar>
          <w:top w:w="0" w:type="dxa"/>
          <w:left w:w="57" w:type="dxa"/>
          <w:bottom w:w="0" w:type="dxa"/>
          <w:right w:w="57" w:type="dxa"/>
        </w:tblCellMar>
      </w:tblPr>
      <w:tblGrid>
        <w:gridCol w:w="624"/>
        <w:gridCol w:w="723"/>
        <w:gridCol w:w="454"/>
        <w:gridCol w:w="2448"/>
        <w:gridCol w:w="2831"/>
        <w:gridCol w:w="2320"/>
        <w:gridCol w:w="563"/>
      </w:tblGrid>
      <w:tr>
        <w:trPr>
          <w:trHeight w:val="23" w:hRule="atLeast"/>
          <w:tblHeader/>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序号</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项目序号</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项目名称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收费标准</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政策依据</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备注</w:t>
            </w: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公安部门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证照费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发改价格〔2004〕2831号，鄂价费〔2016〕99号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sz w:val="15"/>
                <w:szCs w:val="15"/>
              </w:rPr>
              <w:t>一、机动车号牌工本费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（一）号牌(含临时)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汽车反光号牌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挂车反光号牌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35元/副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三轮汽车、低速货车号牌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35元/副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摩托车反光号牌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25元/副</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机动车临时号牌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2元/张</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（二）号牌专用固封装置</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单独补发号牌专用固封装置1元/个</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（三）号牌架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铁质及同类产品5元/只（含安装费）；铝合金及同类产品10元/只（含安装费）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二、机动车行驶证、登记证、驾驶证工本费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发改价格〔2004〕2831号，鄂价费〔2016〕99号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机动车行驶证</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2元/本</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机动车登记证</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4元/证</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驾驶证工本费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2元/证</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三、临时入境机动车号牌和行驶证、临时机动车驾驶许可工本费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发改价格〔2008〕1575号，鄂价费〔2016〕99号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临时入境机动车号牌和行驶证</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7.5元/本</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临时机动车驾驶许可工本费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5元/本</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自然资源部门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土地复垦费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省政府378号令</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土地闲置费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向依法取得国有建设用地使用权但未按规定动工建设满一年未满两年而造成土地闲置的单位或个人征收的费用，征收标准为土地价款的百分之20%</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《湖北省土地管理实施办法》 《湖北省土地闲置征收管理暂行办法》（鄂土资规〔2015〕1号)，财税〔2014〕77号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不动产登记费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住宅80元/件，非住宅550元/件（其中，车库、车位、储藏室80元/件）；证书工本费10元/件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发改价格规〔2016〕2559号，鄂价工服〔2017〕7号,财税〔2019〕45号,财税〔2019〕53号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耕地开垦费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《湖北省土地管理实施办法》，财税〔2014〕77号，财综〔2014〕7号,财综〔2016〕36号,鄂政办发〔2017〕40号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使用基本农田保护区耕地的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为土地补偿费总额的2倍</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使用其他耕地的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为土地补偿费总额的1倍</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住房城乡建设部门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污水处理费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授权市(州)、县人民政府</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发改价格〔2015〕119号，鄂价环资〔2015〕70号,鄂价环资〔2017〕154号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城市道路占用、挖掘修复费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建城〔1993〕410号，鄂建〔1994〕57号，鄂建〔1996〕324号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一、占用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经营类棚亭</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中心区0·60元/日·平方米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边缘区0·30元/日·平方米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维修类棚亭</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中心区0·40元/日·平方米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边缘区0·20元/日·平方米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经营摊点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中心区0·40元/日·平方米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边缘区0·20元/日·平方米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维修摊点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中心区0·20元/日·平方米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边缘区0·10元/日·平方米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报刊、电话棚亭</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中心区0·20元/日·平方米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边缘区0·10元/日·平方米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堆物堆料、基建施工</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中心区0·20元/日·平方米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边缘区0·10元/日·平方米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机动车停车场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中心区0·20元/日·平方米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边缘区0·10元/日·平方米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非机动车停车场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中心区0·10元/日·平方米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边缘区0·05元/日·平方米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广告牌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中心区0·40元/日·平方米</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边缘区0·20元/日·平方米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二、挖掘修复</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水泥路面（按整板计算）</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328元/平方米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沥青路面（按实际开挖宽度两边各加25CM计算）</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砂石路面</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土路面（含规划路用地）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37元/平方米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条（料）石路面</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水泥方砖人行道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现浇人行道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彩色方砖人行道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锁链砖人行道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220元/平方米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站石、卧石</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120元/米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护坡</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外运多余（或运输回填）土方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淤塞各种管道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130元/米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园形砖砌检查井</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2162元/座</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矩形砖砌检查井</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6333元/座</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砖砌进水井</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812元/座</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铸铁检查井盖、座</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725元/套</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铸铁进水井盖、座</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324元/套</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钢筋混凝土检查井盖、座</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Ø300-500mm排水管道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687元/节</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Ø600-900mm排水管道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2346元/节</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Ø1000-1350mm排水管道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3242/节</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Ø1350mm以上排水管道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7534/米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砖、石砌方渠</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3973/米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明沟、渠道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239/米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路牌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1000元/块</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超重车辆补偿费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1000元/公里</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12CM厚改性沥青面层加原水泥砼路面（原水泥砼按鄂建</w:t>
            </w:r>
            <w:r>
              <w:rPr>
                <w:rStyle w:val="24"/>
                <w:rFonts w:hint="eastAsia" w:ascii="宋体" w:hAnsi="宋体" w:eastAsia="宋体" w:cs="宋体"/>
                <w:sz w:val="15"/>
                <w:szCs w:val="15"/>
                <w:lang w:bidi="ar"/>
              </w:rPr>
              <w:t>〔</w:t>
            </w:r>
            <w:r>
              <w:rPr>
                <w:rStyle w:val="13"/>
                <w:rFonts w:hint="default"/>
                <w:sz w:val="15"/>
                <w:szCs w:val="15"/>
                <w:lang w:bidi="ar"/>
              </w:rPr>
              <w:t>1996</w:t>
            </w:r>
            <w:r>
              <w:rPr>
                <w:rStyle w:val="24"/>
                <w:rFonts w:hint="eastAsia" w:ascii="宋体" w:hAnsi="宋体" w:eastAsia="宋体" w:cs="宋体"/>
                <w:sz w:val="15"/>
                <w:szCs w:val="15"/>
                <w:lang w:bidi="ar"/>
              </w:rPr>
              <w:t>〕</w:t>
            </w:r>
            <w:r>
              <w:rPr>
                <w:rStyle w:val="13"/>
                <w:rFonts w:hint="default"/>
                <w:sz w:val="15"/>
                <w:szCs w:val="15"/>
                <w:lang w:bidi="ar"/>
              </w:rPr>
              <w:t>324号文执行）</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867元/平方米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花岗岩人行道（按整块计算）</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627元/平方米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花岗岩站石</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313元/米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交通运输部门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车辆通行费(限于政府还贷)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交公路明电〔2020〕62号、鄂政发〔2020〕6号、鄂交发〔2021〕6号、鄂政办发〔2021〕34号、鄂交发〔2021〕154号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一、客车</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一类客车：共5档，分别是0.4、0.5、0.55、0.64、0.76元/车公里。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二类客车：共5档，分别是0.6、0.75、0.825、0.96、1.14元/车公里。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三类客车：共5档，分别是0.8、1、1.1、1.28、1.52元/车公里。</w:t>
            </w:r>
          </w:p>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四类客车：共5档，分别是1、1.25、1.375、1.6、1.9/车公里。</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二、货车</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一类货车：共三档，分别是0.4、0.5元、0.6元/车公里。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二类货车：共三档，分别是0.74、0.93、1.1/车公里。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三类货车：共三档，分别是1.21、1.53、1.79/车公里。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四类货车：共三档，分别是1.76、2.2、2.64/车公里。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五类货车：共三档，分别是2.05、2.54、3.1/车公里。                              </w:t>
            </w:r>
          </w:p>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六类货车：共三档，分别是2.34、2.87、3.47/车公里。</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工业和      信息化部门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无线电频率占用费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发改价格〔2013〕2396号，发改价格〔2011〕749号，发改价格〔2003〕2300号，计价费〔1998〕218号，鄂价费〔2006〕24号，发改价格〔2017〕1186号、发改价格〔2018〕601号，发改价格〔2019〕914号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一、蜂窝公众通信网络频率</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发改价格〔2013〕2396号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(一)GSM、CDMAM网络频率</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900MHz频段(含800MHzCDMA频段）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1700万元/年·兆赫</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1800MHZ频段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1400万元/年·兆赫</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(二)非全国网使用的频率</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900MHz频段(含800MHzCDMA频段）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170万元/省·年·兆赫</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1800MHZ频段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140万元/省·年·兆赫</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二、第三代公众移动通信网络频率占用费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发改价格〔2011〕749号，发改价格〔2017〕1186号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960MHz以下</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160万元/省·年；16万元/地市·年</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960MHz-2300MHz</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140万元/省·年；14万元/地市·年</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2300MHz-2690MHz</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80万元/省·年；8万元/地市·年</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三、集群无线调度系统</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计价费〔1998〕218号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全国范围使用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5万元/频点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全省范围使用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1万元/频点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2000元/频点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四、无线寻呼系统</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全国范围使用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200万元/频点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全省范围使用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20万元/频点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市、州范围使用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4万元/频点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五、无绳电话系统</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150元/基站</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六、电视台、广播电台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（一）电视台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10万元/套节目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5万元/套节目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1万元/套节目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县级台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5000元/套节目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（二）广播电台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1万元/套节目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5000元/套节目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县级台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100元/套节目</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七、船舶电台(制式电台)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1600总吨位以上的船舶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2000元/艘</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1600总吨位以下的船舶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1000元/艘</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功率≥20马力的渔船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100元/艘</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八、航空电台(制式电台)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固定翼飞机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27吨以上</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3000元/架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5.7吨至27吨(含)</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2000元/架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5.7吨(含)以下</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旋翼飞机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九、除以上栏目外1000MHZ以下的无线电台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固定电台(含陆地电台)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1000元/频点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移动电台(含无中心电台)</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100元/台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十、微波站(发射)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工作频率10GHz以下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40元/站·兆赫(发射）</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工作频率10GHZ以上</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20元/站·兆赫（发射）</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有线电视传输(MMDS)</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600元/站·兆赫</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十一、地球站(发射)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250元/站·兆赫（发射）</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十二、空间电台(发射)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500元/兆赫（发射）</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十三、无线电台（站）频率占用费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发改价格〔2003〕2300号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1.8GHZ—1.9GHZ频段(FDD、TDD方式)</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150元/基站</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450MHZ</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500元/频点·基站</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十四、扩频系统2.4GHZ、5.8GHZ频段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40元/MH2.基站                            (按核准带宽收，                            不足1MHZ的按1MHZ收)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十五、无线数据频段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800元/频点·基站</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电信网码号资源占用费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一、固定电话网码号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发改价格〔2017〕1186号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局号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600元/年·局号·本地网</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（一）短号码</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3位号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210万元/年·号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4位号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（二）5位号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跨省使用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省内使用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2·4万元/年·号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（三）6位号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跨省使用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省内使用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0·24万元/年·号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二、移动通信网码号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600万元/年·号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水利部门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水资源费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价费字〔1992〕181号，发改价格〔2009〕1779号，发改价格〔2013〕29号，发改价格〔2014〕1959号，鄂价费〔2009〕168号,鄂价环资规〔2013〕186号，省政府令360号，省政府令387号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一、地表水(含取用暗河河水)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工业生产取用水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0.15元/立方米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生活和自来水厂取用水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0.05元/立方米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水力发电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按实际发电量每千瓦时0.005元收取</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开式(贯流式)火力发电冷却用水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按实际发电量每千瓦时0.003元收取</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闭式火力发电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0.05元/立方米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跨流域调水及其他取用水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0.20元/立方米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二、地下水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工业生产取用水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0.20元/立方米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生活和自来水厂取用水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0.10元/立方米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其他取用水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0.25元/立方米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三、超计划或者超定额取水的，对超计划或者超定额部分累进收取水资源费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超计划或者定额在30%以下(含30%)，其超量部分收费标准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按规定水资源费标准的2倍收费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超计划或者定额在30%—50%(含50%)，其超量部分收费标准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按规定水资源费标准的3倍收费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超计划或者定额在50%以上的，其超量部分收费标准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按规定水资源费标准的5倍收费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水土保持补偿费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见文鄂价费〔2016〕99号，发改价格〔2017〕1186号，鄂价环资〔2017〕93号</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鄂价费〔2016〕99号，发改价格〔2017〕1186号，鄂价环资〔2017〕93号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农业农村部门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13</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渔业资源增殖保护费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财税〔2014〕101号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八</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林业和草原部门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草原植被恢复费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发改价格〔2010〕1235号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九</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人防部门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防空地下室易地建设费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计价格〔2000〕474号，鄂价费规〔2013〕80号,财税〔2019〕53号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一、武汉市</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武汉市中心城区及东西湖区、武汉经济技术开发区、武汉东湖新技术开发区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二、其他地区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宜昌市、襄阳市、黄石市、十堰市、荆州市、荆门市、鄂州市、孝感市、黄冈市、咸宁市、随州市、恩施市</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三、中心城区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四、其他地区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五、其他人防重点城市(县、市、区)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800元/平方米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法院</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诉讼费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国务院令第481号，鄂价费〔2008〕5号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一、案件受理费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（一）财产案件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不超过1万元的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超过1万元至10万元的部分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按2.5%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超过10万元至20万元的部分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按2%</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超过20万元至50万元的部分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按1.5%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超过50万元至100万元的部分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按1%</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超过100万元至200万元的部分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按0.9%</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超过200万元至500万元的部分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按0.8%</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超过500万元至1000万元的部分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按0.7%</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超过1000万元至2000万元的部分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按0.6%</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超过2000万元的部分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（二）非财产案件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离婚案件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侵害姓名权、名称权、肖像权、名誉权、荣誉权、专利权、著作权、商标权的案件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其它非财产案件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（三）知识产权民事案件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没有争议金额或价额的，1000元/件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（四）劳动争议案件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（五）行政案件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商标、专利、海事行政案件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其它行政案件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（六）当事人提出案件管辖权异议，异议不成立的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二、申请费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国务院令第481号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（一）申请执行的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没有执行金额或价额的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50元至500元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执行金额或价额不超过1万元的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超过1万元至50万元的部分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按1.5%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超过50万元至500万元的部分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按1%</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超过500万元至1000万元的部分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超过1000万元的部分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按0.1%</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（二）申请保全措施的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不满1000元或不涉及财产数额的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超过1000元至10万元的部分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按1%</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超过10万元的部分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按0.5%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（三）依法申请支付令的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比照财产案件受理费标准的1/3交纳</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（四）依法申请公示催告的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（五）申请撤销仲裁裁决或认定仲裁协议效力的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（六）破产案件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依据破产财产总额计算，按财产案件受理费标准减半交纳，但最高不超过30万元。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（七）海事案件</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申请设立海事赔偿责任限制基金的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1000元至1万元/件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申请海事强制令的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1000元至5000元/件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申请船舶优先权催告的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1000元至5000元/件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申请海事债权登记的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申请共同海损理算的</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十一</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民航部门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17</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航空业务权补偿费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向以营利为目的从事外国至中国或中国至外国的客、货包机运输的外国航空公司收取的航空业务权补偿费，由中国民用航空局根据国际通行作法制定收费标准</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发改价格〔2011〕3214号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18</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适航审查费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发改价格〔2011〕3214号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一、型号合格审查费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（一）航空器（包括定翼机、旋翼机、气球和飞艇等）</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（基本费率+每公斤费率*最大起飞全重）*人数*天数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（二）发动机</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〔（基本费率+每公斤(千瓦）费率*最大推力（功率）〕*人数*天数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（三）螺旋桨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（基本费率+每千瓦费率*最大功率）*人数*天数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（四）材料、零部件、机载设备、航化产品、航空油料或委托单位代表合格审查费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170元/人天*人数*天数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二、型号更改审查费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三、生产许可审查费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（一）航空器、发动机和螺旋桨生产许可审查费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（二）材料、零部、机载设备和航空油料生产许可审查费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170元/人天*人数*天数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四、适航检查费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（一）初始适航检查费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1.航空器、发动机、螺旋桨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每人工时200元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2.材料、零件和机载设备</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150元/人元/人天*人数*天数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（二）持续适航检查费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每人工时200元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五、许飞行审查费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200元/人天*人数*天数</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六、维修许可审查费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每人工时200元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七、国际合作审查费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对外国当局委托的审查，按照符合国际惯例和国际对等原则收取国际合作审查费，具体收费标准由中国民用航空局制定</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十二</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卫生健康部门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19</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非免疫规划疫苗储存运输费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武汉市每支7元,其它市州每支9元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《疫苗管理法》，财税〔2020〕17号</w:t>
            </w:r>
          </w:p>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鄂发改价调〔2020〕409号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十三</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药品监管部门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药品注册费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我省已暂停收费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财税〔2015〕2号，发改价格〔2015〕1006号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医疗器械产品注册费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我省已暂停收费</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财税〔2015〕2号，发改价格〔2015〕1006号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十四</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知识产权部门</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商标注册费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发改价格〔2013〕1494号，发改价格〔2015〕2136号,财税〔2017〕20号，发改价格〔2019〕914号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一、受理商标注册费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二、补发商标注册证费（含刊登遗失声明费用）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三、受理转让注册商标费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四、受理商标续展注册费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五、受理商标注册延迟费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六、受理商标评审费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七、变更费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八、出具商标证明费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九、受理集体商标注册费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十、受理证明商标注册费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十一、商标异议费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十二、撤销商标费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十三、商标使用许可合同备案费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23</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专利收费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发改价格〔2015〕2136号，发改价格〔2017〕270号，财税〔2018〕37号，财税〔2019〕45号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一、专利收费（国内部分）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（一）申请费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发明专利900元，实用新型专利500元，外观设计专利500元。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（二）申请附加费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权利要求附加费从第11项起每项加收150元，说明书附加费从第31页起每页加收50元，从301页起每页加收100元。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（三）优先权要求费（每项）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（四）发明专利申请实质审查费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（五）复审费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发明专利1000元，实用新型专利300元，外观设计专利300元。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（六）年费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1.发明专利</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1-3年（每年）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4-6年（每年)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7-9年（每年)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10-12年（每年）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13-15年（每年)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16-20（每年)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2.实用新型专利、外观设计专利</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1-3年（每年）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4-5年（每年)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6-8年（每年)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9-10年（每年)</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（七）年费滞纳金</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每超过规定的缴费时间1个月，加收当年全额年费的5%</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（八）恢复权利申求费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（九）延长期限请求费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第一次延长期限请求费（每月）300元；再次延长期限请求费（每月）2000元。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（十）著录事项变更费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发明人、申请人、专利权人的变更200元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（十一）专利权评价报告请求费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实用新型专利2400元；外观设计专利2400元。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（十二）无效宣告请求费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发明专利权3000元；实用新型专利权1500元；外观设计专利权1500元。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（十三）专利文件副本证明费（每份）</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二、PCT专利申请收费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发改价格〔2015〕2316号，发改价格〔2017〕270号,财税〔2017〕20号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（一）PCT申请国际阶段部分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1.国家知识产权局代世界知识产权组织国际局收取的费用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其收费标准和减缴规定参照《专利合作条例实施细则》执行。</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2.国家知识产权局收取的费用</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（1）检索费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2100元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附加检索费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2100元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（2）优先权文件费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（3）初步审查费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初步审查附加费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（4）单一性异议费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（5）副本复制费（每页）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（6）后提交费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（7）恢复权利请求费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（8）滞纳金</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按应交费用的50%计收，最低不少于传送费，最高不超过《专利合约实施细则》中国际申请费的50%。</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（二）pct申请进入中国国家阶段部分</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发改价格〔2015〕2316号，发改价格〔2017〕270号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1.宽限费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2.译文改正费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初审阶段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实审阶段</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1200元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3.单一性恢复费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900元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4.优先权恢复费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（三）为其他国家和地区提供检索和审查服务收费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具体见文件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发改价格〔2017〕270号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集成电路布图设计保护收费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发改价格〔2017〕270号，鄂价费〔2017〕27号，发改价格〔2017〕1186号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一、布图设计登记费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每件1000元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二、布图设计登记复审请求费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每件1000元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三、著录事项变更手续费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每次50元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四、延长期限请求费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每次150元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五、恢复布图设计登记权利请求费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每件500元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六、非自愿许可使用布图设计请求费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每件150元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七、报酬裁决费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每件150元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十五</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银保监会</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银行业监管费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从2017年7月1日起至2020年12月31日止免征</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发改价格〔2016〕14号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26</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保险业监管费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从2017年7月1日起至2020年12月31日止免征</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发改价格〔2016〕14号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十六</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证监会</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中央立项</w:t>
            </w: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27</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证券、期货业监管费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自2018年1月1日至2020年12月31日，暂免征收。</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发改价格〔2016〕14号，财税〔2018〕37号</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 xml:space="preserve"> </w:t>
            </w: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一、机构监管费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证券公司和基金管理公司</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每年按注册资本金的0.5‰收取，最高不超过30万元。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期货经纪公司</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每年按注册资本金的0.5‰收取，最高不超过5万元。</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二、业务监管费</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上海、深圳证券交易</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按股票年交易额的0.02‰收取</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r>
        <w:trPr>
          <w:trHeight w:val="23" w:hRule="atLeast"/>
          <w:jc w:val="center"/>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rPr>
                <w:rFonts w:ascii="宋体" w:hAnsi="宋体" w:eastAsia="宋体" w:cs="宋体"/>
                <w:color w:val="000000"/>
                <w:sz w:val="15"/>
                <w:szCs w:val="15"/>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color w:val="000000"/>
                <w:sz w:val="15"/>
                <w:szCs w:val="15"/>
              </w:rPr>
            </w:pP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上海期货交易所、郑州商品交易所、大连商品交易所和中国金融期货交易所</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按交易额0.001‰收取</w:t>
            </w:r>
          </w:p>
        </w:tc>
        <w:tc>
          <w:tcPr>
            <w:tcW w:w="232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同上</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color w:val="000000"/>
                <w:sz w:val="15"/>
                <w:szCs w:val="15"/>
              </w:rPr>
            </w:pPr>
          </w:p>
        </w:tc>
      </w:tr>
    </w:tbl>
    <w:p/>
    <w:p>
      <w:pPr>
        <w:rPr>
          <w:rFonts w:ascii="Times New Roman" w:hAnsi="Times New Roman" w:eastAsia="方正仿宋_GBK" w:cs="Times New Roman"/>
          <w:szCs w:val="21"/>
        </w:rPr>
      </w:pPr>
      <w:r>
        <w:rPr>
          <w:rFonts w:ascii="Times New Roman" w:hAnsi="Times New Roman" w:eastAsia="方正仿宋_GBK" w:cs="Times New Roman"/>
          <w:szCs w:val="21"/>
        </w:rPr>
        <w:br w:type="page"/>
      </w:r>
    </w:p>
    <w:p>
      <w:pPr>
        <w:pStyle w:val="2"/>
        <w:widowControl/>
        <w:shd w:val="clear" w:color="auto" w:fill="FFFFFF"/>
        <w:snapToGrid w:val="0"/>
        <w:spacing w:before="0" w:beforeAutospacing="0" w:after="0" w:afterAutospacing="0"/>
        <w:jc w:val="center"/>
        <w:rPr>
          <w:rFonts w:hint="default" w:ascii="方正黑体_GBK" w:hAnsi="方正黑体_GBK" w:eastAsia="方正黑体_GBK" w:cs="方正黑体_GBK"/>
          <w:b w:val="0"/>
          <w:bCs/>
          <w:sz w:val="24"/>
          <w:szCs w:val="24"/>
          <w:shd w:val="clear" w:color="auto" w:fill="FFFFFF"/>
        </w:rPr>
      </w:pPr>
      <w:bookmarkStart w:id="1" w:name="_Toc20335"/>
      <w:r>
        <w:rPr>
          <w:rFonts w:ascii="方正黑体_GBK" w:hAnsi="方正黑体_GBK" w:eastAsia="方正黑体_GBK" w:cs="方正黑体_GBK"/>
          <w:b w:val="0"/>
          <w:bCs/>
          <w:sz w:val="24"/>
          <w:szCs w:val="24"/>
          <w:shd w:val="clear" w:color="auto" w:fill="FFFFFF"/>
        </w:rPr>
        <w:t>附件二：湖北省政府性基金项目清单（2021年10月26日）</w:t>
      </w:r>
      <w:bookmarkEnd w:id="1"/>
    </w:p>
    <w:tbl>
      <w:tblPr>
        <w:tblStyle w:val="9"/>
        <w:tblW w:w="5459" w:type="pct"/>
        <w:jc w:val="center"/>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Layout w:type="fixed"/>
        <w:tblCellMar>
          <w:top w:w="0" w:type="dxa"/>
          <w:left w:w="0" w:type="dxa"/>
          <w:bottom w:w="0" w:type="dxa"/>
          <w:right w:w="0" w:type="dxa"/>
        </w:tblCellMar>
      </w:tblPr>
      <w:tblGrid>
        <w:gridCol w:w="589"/>
        <w:gridCol w:w="541"/>
        <w:gridCol w:w="816"/>
        <w:gridCol w:w="822"/>
        <w:gridCol w:w="2387"/>
        <w:gridCol w:w="2305"/>
        <w:gridCol w:w="2517"/>
      </w:tblGrid>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blHeade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序号</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项目名称</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资金管理方式</w:t>
            </w:r>
          </w:p>
        </w:tc>
        <w:tc>
          <w:tcPr>
            <w:tcW w:w="2555"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政策依据</w:t>
            </w:r>
          </w:p>
        </w:tc>
        <w:tc>
          <w:tcPr>
            <w:tcW w:w="2467"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征收方式</w:t>
            </w:r>
          </w:p>
        </w:tc>
        <w:tc>
          <w:tcPr>
            <w:tcW w:w="2695"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b/>
                <w:bCs/>
                <w:sz w:val="15"/>
                <w:szCs w:val="15"/>
              </w:rPr>
            </w:pPr>
            <w:r>
              <w:rPr>
                <w:rFonts w:hint="eastAsia" w:ascii="宋体" w:hAnsi="宋体" w:eastAsia="宋体" w:cs="宋体"/>
                <w:b/>
                <w:bCs/>
                <w:kern w:val="0"/>
                <w:sz w:val="15"/>
                <w:szCs w:val="15"/>
                <w:lang w:bidi="ar"/>
              </w:rPr>
              <w:t>征收标准</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铁路建设基金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国发〔1992〕37号，财工字〔1996〕371号，财工〔1997〕543号，财综〔2007〕3号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按铁路运输货物的种类、重量、运输距离等征收，与铁路货运运费一并征收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1.整车货物：区分货物种类0.019-0.033元/吨.公里</w:t>
            </w:r>
          </w:p>
          <w:p>
            <w:pPr>
              <w:widowControl/>
              <w:snapToGrid w:val="0"/>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2.零担货物：区分货物种类0.00019-0.00033元/10千克.公里</w:t>
            </w:r>
          </w:p>
          <w:p>
            <w:pPr>
              <w:widowControl/>
              <w:snapToGrid w:val="0"/>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3.自轮运装货物：0.099元/轴.公里</w:t>
            </w:r>
          </w:p>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4.集装箱：区分集装箱尺寸0.264-1.122元/箱.公里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2</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民航发展基金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国发〔2012〕24号，财综〔2012〕17号，财税〔2015〕135号，财税〔2019〕46号,财税〔2020〕72号，财政部公告2021年第8号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对航空旅客按人次征收，在航空旅客购买机票时一并征收；对航空公司按飞行航线、飞机最大起飞全重、飞行里程征收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1.向航空旅客征收部分：国内航班旅客50元/人次、国际和地区航班出境旅客70元/人次</w:t>
            </w:r>
          </w:p>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2.向航空公司征收部分：区分飞行航线、飞机起飞全重、飞行里程0.3-1.84元/公里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3</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国家重大水利工程建设基金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spacing w:val="-6"/>
                <w:kern w:val="0"/>
                <w:sz w:val="15"/>
                <w:szCs w:val="15"/>
                <w:lang w:bidi="ar"/>
              </w:rPr>
              <w:t>财综〔2009〕90号，财综〔2010〕97号，财税〔2010〕44号，财综〔2013〕103号，财税〔2015〕80号，财办税〔2015〕4号，财税〔2017〕51号，财办税〔2017〕60号，财税〔2018〕39号，财税〔2018〕147号,财税〔2019〕46号,财税〔2020〕9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按省、自治区、直辖市扣除国家扶贫开发工作重点县农业排灌用电后的全部销售电量征收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区分不同省（自治区、直辖市）0-4.1934375厘/千瓦时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4</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水利建设基金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《中华人民共和国防洪法》，财综字〔1998〕125号，财综〔2011〕2号，财综函〔2011〕33号，财办综〔2011〕111号，财税函〔2016〕291号，财税〔2016〕12号，财税〔2017〕18号,财税〔2020〕9号，财税〔2020〕72号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中央水利建设基金从车辆购置税、铁路建设基金等收入中提取；地方水利建设基金从地方收取的部分税费收入中提取，经财政部批准后省、自治区、直辖市可向企事业单位等征收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征收标准按省、自治区、直辖市有关规定执行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5</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城市基础设施配套费</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国发〔1998〕34号，财综函〔2002〕3号，财综〔2007〕53号，财税〔2019〕53号，财政部 税务总局 发展改革委 民政部 商务部 卫生健康委公告2019年第76号</w:t>
            </w:r>
          </w:p>
        </w:tc>
        <w:tc>
          <w:tcPr>
            <w:tcW w:w="5162" w:type="dxa"/>
            <w:gridSpan w:val="2"/>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具体征收方式和征收标准按省、自治区、直辖市有关规定执行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6</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农网还贷资金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财企〔2001〕820号，财企〔2002〕446号，财企〔2006〕347号，财综〔2007〕3号，财综〔2012〕7号，财综〔2013〕103号，财税〔2015〕59号,财税〔2018〕147号，财税〔2020〕67号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按农网改造贷款“一省多贷”的省、自治区、直辖市电力用户用电量征收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0.02元/千瓦时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7</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教育费附加</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教育法》，国发〔1986〕50号（国务院令第60号修改发布），国发明电〔1994〕2号、23号，财综〔2007〕53号，国发〔2010〕35号，财税〔2010〕103号，财税〔2016〕12号，财税〔2019〕13号，财税〔2019〕21号，财税〔2019〕22号，财税〔2019〕46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按单位和个人实际缴纳增值税、消费税税额计征</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3%</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90"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8</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地方教育附加</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缴入地方国库</w:t>
            </w:r>
          </w:p>
        </w:tc>
        <w:tc>
          <w:tcPr>
            <w:tcW w:w="2555" w:type="dxa"/>
            <w:tcBorders>
              <w:tl2br w:val="nil"/>
              <w:tr2bl w:val="nil"/>
            </w:tcBorders>
            <w:tcMar>
              <w:top w:w="0" w:type="dxa"/>
              <w:left w:w="57" w:type="dxa"/>
              <w:bottom w:w="0" w:type="dxa"/>
              <w:right w:w="57" w:type="dxa"/>
            </w:tcMa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教育法》，财综〔2001〕58号，财综函〔2003〕2号、9号、10号、12号、13号、14号、15号、16号、18号，财综〔2004〕73号，财综函〔2005〕33号，财综〔2006〕2号、61号，财综函〔2006〕9号，财综函〔2007〕45号，财综〔2007〕53号，财综函〔2008〕7号，财综函〔2010〕2号、3号、7号、8号、11号、71号、72号、73号、75号、76号、78号、79号、80号，财综〔2010〕98号，财综函〔2011〕1号、2号、3号、4号、5号、6号、7号、8号、9号、10号、11号、12号、13号、15号、16号、17号、57号，财税〔2016〕12号，财税〔2018〕70号，财税〔2019〕13号，财税〔2019〕21号，财税〔2019〕22号，财税〔2019〕46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按单位和个人实际缴纳增值税、消费税税额计征</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2%</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90"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9</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文化事业建设费</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国发〔1996〕37号，国办发〔2006〕43号，财综〔2007〕3号，财综〔2013〕102号，财文字〔1997〕243号，财预字〔1996〕469号，财税〔2016〕25号，财税〔2016〕60号，财税〔2019〕46号，财政部2020年公告第25号，财政部 税务总局公告2021年第7号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按提供娱乐服务、广告服务的相关单位和个人的计费销售额征收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3%</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507"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10</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国家电影事业发展专项资金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《电影管理条例》，国办发〔2006〕43号，财税〔2015〕91号，财税〔2018〕67号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按经营性电影放映单位票房收入征收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5%</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11</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旅游发展基金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spacing w:val="-6"/>
                <w:kern w:val="0"/>
                <w:sz w:val="15"/>
                <w:szCs w:val="15"/>
                <w:lang w:bidi="ar"/>
              </w:rPr>
              <w:t>旅办发〔1991〕124号，财综〔2007〕3号，财综〔2010〕123号，财综〔2012〕17号，财税〔2015〕135号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按乘坐国际和地区航班出境的旅客人次在票价上征收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20元/人次</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12</w:t>
            </w:r>
          </w:p>
        </w:tc>
        <w:tc>
          <w:tcPr>
            <w:tcW w:w="570"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中央水库移民扶持基金</w:t>
            </w:r>
          </w:p>
        </w:tc>
        <w:tc>
          <w:tcPr>
            <w:tcW w:w="866"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spacing w:val="-6"/>
                <w:kern w:val="0"/>
                <w:sz w:val="15"/>
                <w:szCs w:val="15"/>
                <w:lang w:bidi="ar"/>
              </w:rPr>
              <w:t>大中型水库移民后期扶持基金</w:t>
            </w:r>
          </w:p>
        </w:tc>
        <w:tc>
          <w:tcPr>
            <w:tcW w:w="872"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vMerge w:val="restart"/>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大中型水利水电工程建设征地补偿和移民安置条例》，《长江三峡工程建设移民条例》，国发〔2006〕17号，财综〔2006〕29号，财监〔2006〕95号，监察部、人事部、财政部令第13号，财综〔2007〕26号，财综函〔2007〕69号，财综〔2008〕17号，财综〔2008〕29号、30号、31号、32号、33号、34号、35号、64号、65号、66号、67号、68号、85号、86号、87号、88号、89号、90号，财综〔2009〕51号、59号，财综〔2010〕15号、16号、43号、113号，财综函〔2010〕10号、39号，财综〔2013〕103号，财税〔2015〕80号，财税〔2016〕11号，财税〔2016〕13号，财税〔2017〕51号，财办税〔2017〕60号，财农〔2017〕128号,财税〔2018〕147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按电力用户用电量征收（扣除农业生产用电）</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区分不同省（自治区、直辖市）1.425-6.225厘/千瓦时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570"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866"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跨省大中型水库库区基金</w:t>
            </w:r>
          </w:p>
        </w:tc>
        <w:tc>
          <w:tcPr>
            <w:tcW w:w="872"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2555" w:type="dxa"/>
            <w:vMerge w:val="continue"/>
            <w:tcBorders>
              <w:tl2br w:val="nil"/>
              <w:tr2bl w:val="nil"/>
            </w:tcBorders>
            <w:tcMar>
              <w:top w:w="0" w:type="dxa"/>
              <w:left w:w="57" w:type="dxa"/>
              <w:bottom w:w="0" w:type="dxa"/>
              <w:right w:w="57" w:type="dxa"/>
            </w:tcMar>
          </w:tcPr>
          <w:p>
            <w:pPr>
              <w:snapToGrid w:val="0"/>
              <w:rPr>
                <w:rFonts w:ascii="宋体" w:hAnsi="宋体" w:eastAsia="宋体" w:cs="宋体"/>
                <w:sz w:val="15"/>
                <w:szCs w:val="15"/>
              </w:rPr>
            </w:pP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按有发电收入的跨省、自治区、直辖市大中型水库实际上网销售电量征收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不高于8厘/千瓦时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2615" w:hRule="atLeast"/>
          <w:jc w:val="center"/>
        </w:trPr>
        <w:tc>
          <w:tcPr>
            <w:tcW w:w="622"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570"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866"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三峡水库库区基金</w:t>
            </w:r>
          </w:p>
        </w:tc>
        <w:tc>
          <w:tcPr>
            <w:tcW w:w="872"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2555" w:type="dxa"/>
            <w:vMerge w:val="continue"/>
            <w:tcBorders>
              <w:tl2br w:val="nil"/>
              <w:tr2bl w:val="nil"/>
            </w:tcBorders>
            <w:tcMar>
              <w:top w:w="0" w:type="dxa"/>
              <w:left w:w="57" w:type="dxa"/>
              <w:bottom w:w="0" w:type="dxa"/>
              <w:right w:w="57" w:type="dxa"/>
            </w:tcMar>
          </w:tcPr>
          <w:p>
            <w:pPr>
              <w:snapToGrid w:val="0"/>
              <w:rPr>
                <w:rFonts w:ascii="宋体" w:hAnsi="宋体" w:eastAsia="宋体" w:cs="宋体"/>
                <w:sz w:val="15"/>
                <w:szCs w:val="15"/>
              </w:rPr>
            </w:pP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按三峡电站机组实际上网销售电量征收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8厘/千瓦时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13</w:t>
            </w:r>
          </w:p>
        </w:tc>
        <w:tc>
          <w:tcPr>
            <w:tcW w:w="570"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地方水库移民扶持基金</w:t>
            </w:r>
          </w:p>
        </w:tc>
        <w:tc>
          <w:tcPr>
            <w:tcW w:w="866"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省级大中型水库库区基金</w:t>
            </w:r>
          </w:p>
        </w:tc>
        <w:tc>
          <w:tcPr>
            <w:tcW w:w="872" w:type="dxa"/>
            <w:vMerge w:val="restart"/>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缴入地方国库</w:t>
            </w:r>
          </w:p>
        </w:tc>
        <w:tc>
          <w:tcPr>
            <w:tcW w:w="2555" w:type="dxa"/>
            <w:vMerge w:val="restart"/>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spacing w:val="-6"/>
                <w:kern w:val="0"/>
                <w:sz w:val="15"/>
                <w:szCs w:val="15"/>
                <w:lang w:bidi="ar"/>
              </w:rPr>
              <w:t>《大中型水利水电工程建设征地补偿和移民安置条例》，国发〔2006〕17号，财综〔2007〕26号，财综〔2008〕17号，财综〔2008〕29号、30号、31号、32号、33号、34号、35号、64号、65号、66号、67号、68号、85号、86号、87号、88号、89号、90号，财综〔2009〕51号、59号，财综〔2010〕15号、16号、43号、113号，财综函〔2010〕10号、39号，财税〔2016〕11号，财税〔2016〕13号，财税〔2017〕18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按有发电收入的省级辖区内大中型水库实际上网销售电量征收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不高于8厘/千瓦时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1837" w:hRule="atLeast"/>
          <w:jc w:val="center"/>
        </w:trPr>
        <w:tc>
          <w:tcPr>
            <w:tcW w:w="622"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570" w:type="dxa"/>
            <w:vMerge w:val="continue"/>
            <w:tcBorders>
              <w:tl2br w:val="nil"/>
              <w:tr2bl w:val="nil"/>
            </w:tcBorders>
            <w:tcMar>
              <w:top w:w="0" w:type="dxa"/>
              <w:left w:w="57" w:type="dxa"/>
              <w:bottom w:w="0" w:type="dxa"/>
              <w:right w:w="57" w:type="dxa"/>
            </w:tcMar>
            <w:vAlign w:val="center"/>
          </w:tcPr>
          <w:p>
            <w:pPr>
              <w:snapToGrid w:val="0"/>
              <w:jc w:val="center"/>
              <w:rPr>
                <w:rFonts w:ascii="宋体" w:hAnsi="宋体" w:eastAsia="宋体" w:cs="宋体"/>
                <w:sz w:val="15"/>
                <w:szCs w:val="15"/>
              </w:rPr>
            </w:pPr>
          </w:p>
        </w:tc>
        <w:tc>
          <w:tcPr>
            <w:tcW w:w="866"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小型水库移民扶助基金</w:t>
            </w:r>
          </w:p>
        </w:tc>
        <w:tc>
          <w:tcPr>
            <w:tcW w:w="872" w:type="dxa"/>
            <w:vMerge w:val="continue"/>
            <w:tcBorders>
              <w:tl2br w:val="nil"/>
              <w:tr2bl w:val="nil"/>
            </w:tcBorders>
            <w:tcMar>
              <w:top w:w="0" w:type="dxa"/>
              <w:left w:w="57" w:type="dxa"/>
              <w:bottom w:w="0" w:type="dxa"/>
              <w:right w:w="57" w:type="dxa"/>
            </w:tcMar>
            <w:vAlign w:val="center"/>
          </w:tcPr>
          <w:p>
            <w:pPr>
              <w:snapToGrid w:val="0"/>
              <w:rPr>
                <w:rFonts w:ascii="宋体" w:hAnsi="宋体" w:eastAsia="宋体" w:cs="宋体"/>
                <w:sz w:val="15"/>
                <w:szCs w:val="15"/>
              </w:rPr>
            </w:pPr>
          </w:p>
        </w:tc>
        <w:tc>
          <w:tcPr>
            <w:tcW w:w="2555" w:type="dxa"/>
            <w:vMerge w:val="continue"/>
            <w:tcBorders>
              <w:tl2br w:val="nil"/>
              <w:tr2bl w:val="nil"/>
            </w:tcBorders>
            <w:tcMar>
              <w:top w:w="0" w:type="dxa"/>
              <w:left w:w="57" w:type="dxa"/>
              <w:bottom w:w="0" w:type="dxa"/>
              <w:right w:w="57" w:type="dxa"/>
            </w:tcMar>
            <w:vAlign w:val="center"/>
          </w:tcPr>
          <w:p>
            <w:pPr>
              <w:snapToGrid w:val="0"/>
              <w:rPr>
                <w:rFonts w:ascii="宋体" w:hAnsi="宋体" w:eastAsia="宋体" w:cs="宋体"/>
                <w:sz w:val="15"/>
                <w:szCs w:val="15"/>
              </w:rPr>
            </w:pPr>
          </w:p>
        </w:tc>
        <w:tc>
          <w:tcPr>
            <w:tcW w:w="5162" w:type="dxa"/>
            <w:gridSpan w:val="2"/>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具体征收方式和征收标准按省、自治区、直辖市有关规定执行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1112"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14</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残疾人就业</w:t>
            </w:r>
          </w:p>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保障金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缴入地方国库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《残疾人就业条例》，财税〔2015〕72号，财综〔2001〕16号，财税〔2017〕18号，财税〔2018〕39号，2019年公告第98号 </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按上年用人单位安排残疾人就业未达到规定比例的差额人数征收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用人单位在职职工平均工资未超过当地社会平均工资2倍（含）的，征收标准为用人单位在职职工年平均工资；超过当地社会平均工资2倍的，征收标准为当地社会平均工资2倍</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918"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15</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森林植被恢复费</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缴入中央和地方国库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《中华人民共和国森林法》，《中华人民共和国森林法实施条例》，财综〔2002〕73号，财税〔2015〕122号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按用地单位占用林地面积征收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区分不同林地类型、占用林地建设项目性质、所在区域，征收标准不低于3-40元/平方米，具体征收标准按省、自治区、直辖市规定执行</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1476"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16</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可再生能源发展基金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《中华人民共和国可再生能源法》，财综〔2011〕115号，财建〔2012〕102号，财综〔2013〕89号，财综〔2013〕103号，财税〔2016〕4号，财办税〔2015〕4号,财税〔2018〕147号,财建〔2020〕4号,财建〔2020〕5号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按省、自治区、直辖市销售电量（扣除农业生产用电）征收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居民生活用电8厘/千瓦时，其他用电新疆1.5分/千瓦时，其他省份1.9分/千瓦时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1282"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17</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船舶油污损害赔偿基金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《中华人民共和国海洋环境保护法》，《防治船舶污染海洋环境管理条例》，财综〔2012〕33号，交财审发〔2014〕96号，财政部公告2020年第14号，财政部公告2020年第30号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按海上运输持久性油类物质重量征收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0.3元/吨</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trHeight w:val="711" w:hRule="atLeast"/>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18</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核电站乏燃料处理处置基金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《中华人民共和国核安全法》，财综〔2010〕58号,财税〔2018〕147号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按核电厂已投入商业运行五年以上压水堆核电机组的实际上网销售电量征收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0.026元/千瓦时</w:t>
            </w:r>
          </w:p>
        </w:tc>
      </w:tr>
      <w:tr>
        <w:tblPrEx>
          <w:tblBorders>
            <w:top w:val="single" w:color="333333" w:sz="4" w:space="0"/>
            <w:left w:val="single" w:color="333333" w:sz="4" w:space="0"/>
            <w:bottom w:val="single" w:color="333333" w:sz="4" w:space="0"/>
            <w:right w:val="single" w:color="333333" w:sz="4" w:space="0"/>
            <w:insideH w:val="single" w:color="333333" w:sz="4" w:space="0"/>
            <w:insideV w:val="single" w:color="333333" w:sz="4" w:space="0"/>
          </w:tblBorders>
        </w:tblPrEx>
        <w:trPr>
          <w:jc w:val="center"/>
        </w:trPr>
        <w:tc>
          <w:tcPr>
            <w:tcW w:w="62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19</w:t>
            </w:r>
          </w:p>
        </w:tc>
        <w:tc>
          <w:tcPr>
            <w:tcW w:w="1436" w:type="dxa"/>
            <w:gridSpan w:val="2"/>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废弃电器电子产品处理基金</w:t>
            </w:r>
          </w:p>
        </w:tc>
        <w:tc>
          <w:tcPr>
            <w:tcW w:w="872" w:type="dxa"/>
            <w:tcBorders>
              <w:tl2br w:val="nil"/>
              <w:tr2bl w:val="nil"/>
            </w:tcBorders>
            <w:tcMar>
              <w:top w:w="0" w:type="dxa"/>
              <w:left w:w="57" w:type="dxa"/>
              <w:bottom w:w="0" w:type="dxa"/>
              <w:right w:w="57" w:type="dxa"/>
            </w:tcMar>
            <w:vAlign w:val="center"/>
          </w:tcPr>
          <w:p>
            <w:pPr>
              <w:widowControl/>
              <w:snapToGrid w:val="0"/>
              <w:jc w:val="center"/>
              <w:textAlignment w:val="top"/>
              <w:rPr>
                <w:rFonts w:ascii="宋体" w:hAnsi="宋体" w:eastAsia="宋体" w:cs="宋体"/>
                <w:sz w:val="15"/>
                <w:szCs w:val="15"/>
              </w:rPr>
            </w:pPr>
            <w:r>
              <w:rPr>
                <w:rFonts w:hint="eastAsia" w:ascii="宋体" w:hAnsi="宋体" w:eastAsia="宋体" w:cs="宋体"/>
                <w:kern w:val="0"/>
                <w:sz w:val="15"/>
                <w:szCs w:val="15"/>
                <w:lang w:bidi="ar"/>
              </w:rPr>
              <w:t>缴入中央国库</w:t>
            </w:r>
          </w:p>
        </w:tc>
        <w:tc>
          <w:tcPr>
            <w:tcW w:w="2555" w:type="dxa"/>
            <w:tcBorders>
              <w:tl2br w:val="nil"/>
              <w:tr2bl w:val="nil"/>
            </w:tcBorders>
            <w:tcMar>
              <w:top w:w="0" w:type="dxa"/>
              <w:left w:w="57" w:type="dxa"/>
              <w:bottom w:w="0" w:type="dxa"/>
              <w:right w:w="57" w:type="dxa"/>
            </w:tcMa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废弃电器电子产品回收处理管理条例》，财综〔2012〕34号，财综〔2012〕48号，财综〔2012〕80号，财综〔2013〕32号，财综〔2013〕109号，财综〔2013〕110号，财综〔2014〕45号、财税〔2015〕81号，财政部公告2014年第29号，财政部公告2015年第91号，国家税务总局公告2012年第41号，海关总署公告2012年第33号，财税〔2021〕10号</w:t>
            </w:r>
          </w:p>
        </w:tc>
        <w:tc>
          <w:tcPr>
            <w:tcW w:w="2467"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按电器电子产品生产者销售、进口电器电子产品的收货人或其代理人进口的电器电子产品数量征收</w:t>
            </w:r>
          </w:p>
        </w:tc>
        <w:tc>
          <w:tcPr>
            <w:tcW w:w="2695" w:type="dxa"/>
            <w:tcBorders>
              <w:tl2br w:val="nil"/>
              <w:tr2bl w:val="nil"/>
            </w:tcBorders>
            <w:tcMar>
              <w:top w:w="0" w:type="dxa"/>
              <w:left w:w="57" w:type="dxa"/>
              <w:bottom w:w="0" w:type="dxa"/>
              <w:right w:w="57" w:type="dxa"/>
            </w:tcMar>
            <w:vAlign w:val="center"/>
          </w:tcPr>
          <w:p>
            <w:pPr>
              <w:widowControl/>
              <w:snapToGrid w:val="0"/>
              <w:textAlignment w:val="top"/>
              <w:rPr>
                <w:rFonts w:ascii="宋体" w:hAnsi="宋体" w:eastAsia="宋体" w:cs="宋体"/>
                <w:sz w:val="15"/>
                <w:szCs w:val="15"/>
              </w:rPr>
            </w:pPr>
            <w:r>
              <w:rPr>
                <w:rFonts w:hint="eastAsia" w:ascii="宋体" w:hAnsi="宋体" w:eastAsia="宋体" w:cs="宋体"/>
                <w:kern w:val="0"/>
                <w:sz w:val="15"/>
                <w:szCs w:val="15"/>
                <w:lang w:bidi="ar"/>
              </w:rPr>
              <w:t>电视机征收标准13元/台，电冰箱征收标准12元/台，洗衣机征收标准7元/台，房间空调器征收标准7元/台，微型计算机征收标准10元/台</w:t>
            </w:r>
          </w:p>
        </w:tc>
      </w:tr>
    </w:tbl>
    <w:p>
      <w:pPr>
        <w:rPr>
          <w:rFonts w:ascii="Times New Roman" w:hAnsi="Times New Roman" w:eastAsia="方正仿宋_GBK" w:cs="Times New Roman"/>
          <w:szCs w:val="21"/>
        </w:rPr>
      </w:pPr>
      <w:r>
        <w:rPr>
          <w:rFonts w:ascii="Times New Roman" w:hAnsi="Times New Roman" w:eastAsia="方正仿宋_GBK" w:cs="Times New Roman"/>
          <w:szCs w:val="21"/>
        </w:rPr>
        <w:br w:type="page"/>
      </w:r>
    </w:p>
    <w:p>
      <w:pPr>
        <w:pStyle w:val="2"/>
        <w:widowControl/>
        <w:shd w:val="clear" w:color="auto" w:fill="FFFFFF"/>
        <w:snapToGrid w:val="0"/>
        <w:spacing w:before="0" w:beforeAutospacing="0" w:after="0" w:afterAutospacing="0"/>
        <w:jc w:val="center"/>
        <w:rPr>
          <w:rFonts w:hint="default" w:ascii="方正黑体_GBK" w:hAnsi="方正黑体_GBK" w:eastAsia="方正黑体_GBK" w:cs="方正黑体_GBK"/>
          <w:b w:val="0"/>
          <w:bCs/>
          <w:sz w:val="24"/>
          <w:szCs w:val="24"/>
          <w:shd w:val="clear" w:color="auto" w:fill="FFFFFF"/>
        </w:rPr>
      </w:pPr>
      <w:r>
        <w:rPr>
          <w:rFonts w:ascii="方正黑体_GBK" w:hAnsi="方正黑体_GBK" w:eastAsia="方正黑体_GBK" w:cs="方正黑体_GBK"/>
          <w:b w:val="0"/>
          <w:bCs/>
          <w:sz w:val="24"/>
          <w:szCs w:val="24"/>
          <w:shd w:val="clear" w:color="auto" w:fill="FFFFFF"/>
        </w:rPr>
        <w:t>附件三、政府定价的涉企经营服务性收费标准清单（2021年11月27日）</w:t>
      </w:r>
    </w:p>
    <w:p>
      <w:pPr>
        <w:snapToGrid w:val="0"/>
        <w:jc w:val="center"/>
        <w:textAlignment w:val="center"/>
        <w:rPr>
          <w:rFonts w:ascii="宋体" w:hAnsi="宋体" w:eastAsia="宋体" w:cs="宋体"/>
          <w:sz w:val="15"/>
          <w:szCs w:val="15"/>
        </w:rPr>
      </w:pPr>
      <w:r>
        <w:rPr>
          <w:rFonts w:hint="eastAsia" w:ascii="宋体" w:hAnsi="宋体" w:eastAsia="宋体" w:cs="宋体"/>
          <w:b/>
          <w:bCs/>
          <w:kern w:val="0"/>
          <w:sz w:val="15"/>
          <w:szCs w:val="15"/>
          <w:lang w:bidi="ar"/>
        </w:rPr>
        <w:t>中央定价的涉企经营服务性收费清单</w:t>
      </w:r>
    </w:p>
    <w:tbl>
      <w:tblPr>
        <w:tblStyle w:val="9"/>
        <w:tblW w:w="5518" w:type="pct"/>
        <w:jc w:val="center"/>
        <w:tblLayout w:type="fixed"/>
        <w:tblCellMar>
          <w:top w:w="0" w:type="dxa"/>
          <w:left w:w="57" w:type="dxa"/>
          <w:bottom w:w="0" w:type="dxa"/>
          <w:right w:w="57" w:type="dxa"/>
        </w:tblCellMar>
      </w:tblPr>
      <w:tblGrid>
        <w:gridCol w:w="523"/>
        <w:gridCol w:w="941"/>
        <w:gridCol w:w="919"/>
        <w:gridCol w:w="2013"/>
        <w:gridCol w:w="1265"/>
        <w:gridCol w:w="579"/>
        <w:gridCol w:w="604"/>
        <w:gridCol w:w="610"/>
        <w:gridCol w:w="660"/>
        <w:gridCol w:w="687"/>
        <w:gridCol w:w="740"/>
        <w:gridCol w:w="543"/>
      </w:tblGrid>
      <w:tr>
        <w:trPr>
          <w:trHeight w:val="23" w:hRule="atLeast"/>
          <w:tblHeader/>
          <w:jc w:val="center"/>
        </w:trPr>
        <w:tc>
          <w:tcPr>
            <w:tcW w:w="522"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类型</w:t>
            </w:r>
          </w:p>
        </w:tc>
        <w:tc>
          <w:tcPr>
            <w:tcW w:w="941"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kern w:val="0"/>
                <w:sz w:val="15"/>
                <w:szCs w:val="15"/>
                <w:lang w:bidi="ar"/>
              </w:rPr>
            </w:pPr>
            <w:r>
              <w:rPr>
                <w:rFonts w:hint="eastAsia" w:ascii="宋体" w:hAnsi="宋体" w:eastAsia="宋体" w:cs="宋体"/>
                <w:b/>
                <w:bCs/>
                <w:kern w:val="0"/>
                <w:sz w:val="15"/>
                <w:szCs w:val="15"/>
                <w:lang w:bidi="ar"/>
              </w:rPr>
              <w:t>一级</w:t>
            </w:r>
          </w:p>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项目</w:t>
            </w:r>
          </w:p>
        </w:tc>
        <w:tc>
          <w:tcPr>
            <w:tcW w:w="920"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kern w:val="0"/>
                <w:sz w:val="15"/>
                <w:szCs w:val="15"/>
                <w:lang w:bidi="ar"/>
              </w:rPr>
            </w:pPr>
            <w:r>
              <w:rPr>
                <w:rFonts w:hint="eastAsia" w:ascii="宋体" w:hAnsi="宋体" w:eastAsia="宋体" w:cs="宋体"/>
                <w:b/>
                <w:bCs/>
                <w:kern w:val="0"/>
                <w:sz w:val="15"/>
                <w:szCs w:val="15"/>
                <w:lang w:bidi="ar"/>
              </w:rPr>
              <w:t>二级</w:t>
            </w:r>
          </w:p>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项目</w:t>
            </w:r>
          </w:p>
        </w:tc>
        <w:tc>
          <w:tcPr>
            <w:tcW w:w="2016"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收费标准</w:t>
            </w:r>
          </w:p>
        </w:tc>
        <w:tc>
          <w:tcPr>
            <w:tcW w:w="1266"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kern w:val="0"/>
                <w:sz w:val="15"/>
                <w:szCs w:val="15"/>
                <w:lang w:bidi="ar"/>
              </w:rPr>
            </w:pPr>
            <w:r>
              <w:rPr>
                <w:rFonts w:hint="eastAsia" w:ascii="宋体" w:hAnsi="宋体" w:eastAsia="宋体" w:cs="宋体"/>
                <w:b/>
                <w:bCs/>
                <w:kern w:val="0"/>
                <w:sz w:val="15"/>
                <w:szCs w:val="15"/>
                <w:lang w:bidi="ar"/>
              </w:rPr>
              <w:t>收费文件</w:t>
            </w:r>
          </w:p>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（文号）</w:t>
            </w:r>
          </w:p>
        </w:tc>
        <w:tc>
          <w:tcPr>
            <w:tcW w:w="578"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定价部门</w:t>
            </w:r>
          </w:p>
        </w:tc>
        <w:tc>
          <w:tcPr>
            <w:tcW w:w="604"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行业主管部门</w:t>
            </w:r>
          </w:p>
        </w:tc>
        <w:tc>
          <w:tcPr>
            <w:tcW w:w="610"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是否涉企</w:t>
            </w:r>
          </w:p>
        </w:tc>
        <w:tc>
          <w:tcPr>
            <w:tcW w:w="659"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是否行政审批前置</w:t>
            </w:r>
          </w:p>
        </w:tc>
        <w:tc>
          <w:tcPr>
            <w:tcW w:w="687"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是否涉进出口环节</w:t>
            </w:r>
          </w:p>
        </w:tc>
        <w:tc>
          <w:tcPr>
            <w:tcW w:w="740"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定价方法（方式）</w:t>
            </w:r>
          </w:p>
        </w:tc>
        <w:tc>
          <w:tcPr>
            <w:tcW w:w="543" w:type="dxa"/>
            <w:tcBorders>
              <w:top w:val="single" w:color="000000" w:sz="4" w:space="0"/>
              <w:left w:val="single" w:color="000000" w:sz="4" w:space="0"/>
              <w:bottom w:val="nil"/>
              <w:right w:val="single" w:color="000000" w:sz="4" w:space="0"/>
            </w:tcBorders>
            <w:shd w:val="clear" w:color="auto" w:fill="auto"/>
            <w:vAlign w:val="center"/>
          </w:tcPr>
          <w:p>
            <w:pPr>
              <w:snapToGrid w:val="0"/>
              <w:jc w:val="center"/>
              <w:textAlignment w:val="center"/>
              <w:rPr>
                <w:rFonts w:ascii="宋体" w:hAnsi="宋体" w:eastAsia="宋体" w:cs="宋体"/>
                <w:b/>
                <w:bCs/>
                <w:sz w:val="15"/>
                <w:szCs w:val="15"/>
              </w:rPr>
            </w:pPr>
            <w:r>
              <w:rPr>
                <w:rFonts w:hint="eastAsia" w:ascii="宋体" w:hAnsi="宋体" w:eastAsia="宋体" w:cs="宋体"/>
                <w:b/>
                <w:bCs/>
                <w:kern w:val="0"/>
                <w:sz w:val="15"/>
                <w:szCs w:val="15"/>
                <w:lang w:bidi="ar"/>
              </w:rPr>
              <w:t>备注</w:t>
            </w:r>
          </w:p>
        </w:tc>
      </w:tr>
      <w:tr>
        <w:trPr>
          <w:trHeight w:val="23" w:hRule="atLeast"/>
          <w:jc w:val="center"/>
        </w:trPr>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一、商业银行基础服务收费、银行卡刷卡手续费</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（一）银行卡刷卡手续费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Style w:val="14"/>
                <w:rFonts w:ascii="宋体" w:hAnsi="宋体" w:eastAsia="宋体" w:cs="宋体"/>
                <w:color w:val="auto"/>
                <w:sz w:val="15"/>
                <w:szCs w:val="15"/>
                <w:lang w:bidi="ar"/>
              </w:rPr>
            </w:pPr>
            <w:r>
              <w:rPr>
                <w:rFonts w:hint="eastAsia" w:ascii="宋体" w:hAnsi="宋体" w:eastAsia="宋体" w:cs="宋体"/>
                <w:kern w:val="0"/>
                <w:sz w:val="15"/>
                <w:szCs w:val="15"/>
                <w:lang w:bidi="ar"/>
              </w:rPr>
              <w:t>1</w:t>
            </w:r>
            <w:r>
              <w:rPr>
                <w:rStyle w:val="14"/>
                <w:rFonts w:hint="eastAsia" w:ascii="宋体" w:hAnsi="宋体" w:eastAsia="宋体" w:cs="宋体"/>
                <w:color w:val="auto"/>
                <w:sz w:val="15"/>
                <w:szCs w:val="15"/>
                <w:lang w:bidi="ar"/>
              </w:rPr>
              <w:t>、银行卡刷卡交易发卡行服务费</w:t>
            </w:r>
          </w:p>
          <w:p>
            <w:pPr>
              <w:snapToGrid w:val="0"/>
              <w:jc w:val="left"/>
              <w:textAlignment w:val="center"/>
              <w:rPr>
                <w:rStyle w:val="14"/>
                <w:rFonts w:ascii="宋体" w:hAnsi="宋体" w:eastAsia="宋体" w:cs="宋体"/>
                <w:color w:val="auto"/>
                <w:sz w:val="15"/>
                <w:szCs w:val="15"/>
                <w:lang w:bidi="ar"/>
              </w:rPr>
            </w:pPr>
            <w:r>
              <w:rPr>
                <w:rStyle w:val="14"/>
                <w:rFonts w:hint="eastAsia" w:ascii="宋体" w:hAnsi="宋体" w:eastAsia="宋体" w:cs="宋体"/>
                <w:color w:val="auto"/>
                <w:sz w:val="15"/>
                <w:szCs w:val="15"/>
                <w:lang w:bidi="ar"/>
              </w:rPr>
              <w:t>借记卡：不高于</w:t>
            </w:r>
            <w:r>
              <w:rPr>
                <w:rStyle w:val="21"/>
                <w:rFonts w:hint="eastAsia" w:ascii="宋体" w:hAnsi="宋体" w:eastAsia="宋体" w:cs="宋体"/>
                <w:color w:val="auto"/>
                <w:sz w:val="15"/>
                <w:szCs w:val="15"/>
                <w:lang w:bidi="ar"/>
              </w:rPr>
              <w:t>0.35%</w:t>
            </w:r>
            <w:r>
              <w:rPr>
                <w:rStyle w:val="14"/>
                <w:rFonts w:hint="eastAsia" w:ascii="宋体" w:hAnsi="宋体" w:eastAsia="宋体" w:cs="宋体"/>
                <w:color w:val="auto"/>
                <w:sz w:val="15"/>
                <w:szCs w:val="15"/>
                <w:lang w:bidi="ar"/>
              </w:rPr>
              <w:t>（单笔收费金额不超过</w:t>
            </w:r>
            <w:r>
              <w:rPr>
                <w:rStyle w:val="21"/>
                <w:rFonts w:hint="eastAsia" w:ascii="宋体" w:hAnsi="宋体" w:eastAsia="宋体" w:cs="宋体"/>
                <w:color w:val="auto"/>
                <w:sz w:val="15"/>
                <w:szCs w:val="15"/>
                <w:lang w:bidi="ar"/>
              </w:rPr>
              <w:t>13</w:t>
            </w:r>
            <w:r>
              <w:rPr>
                <w:rStyle w:val="14"/>
                <w:rFonts w:hint="eastAsia" w:ascii="宋体" w:hAnsi="宋体" w:eastAsia="宋体" w:cs="宋体"/>
                <w:color w:val="auto"/>
                <w:sz w:val="15"/>
                <w:szCs w:val="15"/>
                <w:lang w:bidi="ar"/>
              </w:rPr>
              <w:t>元）；</w:t>
            </w:r>
          </w:p>
          <w:p>
            <w:pPr>
              <w:snapToGrid w:val="0"/>
              <w:jc w:val="left"/>
              <w:textAlignment w:val="center"/>
              <w:rPr>
                <w:rStyle w:val="21"/>
                <w:rFonts w:ascii="宋体" w:hAnsi="宋体" w:eastAsia="宋体" w:cs="宋体"/>
                <w:color w:val="auto"/>
                <w:sz w:val="15"/>
                <w:szCs w:val="15"/>
                <w:lang w:bidi="ar"/>
              </w:rPr>
            </w:pPr>
            <w:r>
              <w:rPr>
                <w:rStyle w:val="14"/>
                <w:rFonts w:hint="eastAsia" w:ascii="宋体" w:hAnsi="宋体" w:eastAsia="宋体" w:cs="宋体"/>
                <w:color w:val="auto"/>
                <w:sz w:val="15"/>
                <w:szCs w:val="15"/>
                <w:lang w:bidi="ar"/>
              </w:rPr>
              <w:t>贷记卡：不高于</w:t>
            </w:r>
            <w:r>
              <w:rPr>
                <w:rStyle w:val="21"/>
                <w:rFonts w:hint="eastAsia" w:ascii="宋体" w:hAnsi="宋体" w:eastAsia="宋体" w:cs="宋体"/>
                <w:color w:val="auto"/>
                <w:sz w:val="15"/>
                <w:szCs w:val="15"/>
                <w:lang w:bidi="ar"/>
              </w:rPr>
              <w:t>0.45%</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2</w:t>
            </w:r>
            <w:r>
              <w:rPr>
                <w:rStyle w:val="14"/>
                <w:rFonts w:hint="eastAsia" w:ascii="宋体" w:hAnsi="宋体" w:eastAsia="宋体" w:cs="宋体"/>
                <w:color w:val="auto"/>
                <w:sz w:val="15"/>
                <w:szCs w:val="15"/>
                <w:lang w:bidi="ar"/>
              </w:rPr>
              <w:t>、银行卡刷卡交易网络服务费</w:t>
            </w:r>
          </w:p>
          <w:p>
            <w:pPr>
              <w:snapToGrid w:val="0"/>
              <w:jc w:val="left"/>
              <w:textAlignment w:val="center"/>
              <w:rPr>
                <w:rStyle w:val="14"/>
                <w:rFonts w:ascii="宋体" w:hAnsi="宋体" w:eastAsia="宋体" w:cs="宋体"/>
                <w:color w:val="auto"/>
                <w:sz w:val="15"/>
                <w:szCs w:val="15"/>
                <w:lang w:bidi="ar"/>
              </w:rPr>
            </w:pPr>
            <w:r>
              <w:rPr>
                <w:rStyle w:val="14"/>
                <w:rFonts w:hint="eastAsia" w:ascii="宋体" w:hAnsi="宋体" w:eastAsia="宋体" w:cs="宋体"/>
                <w:color w:val="auto"/>
                <w:sz w:val="15"/>
                <w:szCs w:val="15"/>
                <w:lang w:bidi="ar"/>
              </w:rPr>
              <w:t>向发卡机构：不高于</w:t>
            </w:r>
            <w:r>
              <w:rPr>
                <w:rStyle w:val="21"/>
                <w:rFonts w:hint="eastAsia" w:ascii="宋体" w:hAnsi="宋体" w:eastAsia="宋体" w:cs="宋体"/>
                <w:color w:val="auto"/>
                <w:sz w:val="15"/>
                <w:szCs w:val="15"/>
                <w:lang w:bidi="ar"/>
              </w:rPr>
              <w:t>0.0325%</w:t>
            </w:r>
            <w:r>
              <w:rPr>
                <w:rStyle w:val="14"/>
                <w:rFonts w:hint="eastAsia" w:ascii="宋体" w:hAnsi="宋体" w:eastAsia="宋体" w:cs="宋体"/>
                <w:color w:val="auto"/>
                <w:sz w:val="15"/>
                <w:szCs w:val="15"/>
                <w:lang w:bidi="ar"/>
              </w:rPr>
              <w:t>（单笔收费金额不超过</w:t>
            </w:r>
            <w:r>
              <w:rPr>
                <w:rStyle w:val="21"/>
                <w:rFonts w:hint="eastAsia" w:ascii="宋体" w:hAnsi="宋体" w:eastAsia="宋体" w:cs="宋体"/>
                <w:color w:val="auto"/>
                <w:sz w:val="15"/>
                <w:szCs w:val="15"/>
                <w:lang w:bidi="ar"/>
              </w:rPr>
              <w:t>3.25</w:t>
            </w:r>
            <w:r>
              <w:rPr>
                <w:rStyle w:val="14"/>
                <w:rFonts w:hint="eastAsia" w:ascii="宋体" w:hAnsi="宋体" w:eastAsia="宋体" w:cs="宋体"/>
                <w:color w:val="auto"/>
                <w:sz w:val="15"/>
                <w:szCs w:val="15"/>
                <w:lang w:bidi="ar"/>
              </w:rPr>
              <w:t>元）；</w:t>
            </w:r>
          </w:p>
          <w:p>
            <w:pPr>
              <w:snapToGrid w:val="0"/>
              <w:jc w:val="left"/>
              <w:textAlignment w:val="center"/>
              <w:rPr>
                <w:rFonts w:ascii="宋体" w:hAnsi="宋体" w:eastAsia="宋体" w:cs="宋体"/>
                <w:sz w:val="15"/>
                <w:szCs w:val="15"/>
              </w:rPr>
            </w:pPr>
            <w:r>
              <w:rPr>
                <w:rStyle w:val="14"/>
                <w:rFonts w:hint="eastAsia" w:ascii="宋体" w:hAnsi="宋体" w:eastAsia="宋体" w:cs="宋体"/>
                <w:color w:val="auto"/>
                <w:sz w:val="15"/>
                <w:szCs w:val="15"/>
                <w:lang w:bidi="ar"/>
              </w:rPr>
              <w:t>向收单机构：不高于</w:t>
            </w:r>
            <w:r>
              <w:rPr>
                <w:rStyle w:val="21"/>
                <w:rFonts w:hint="eastAsia" w:ascii="宋体" w:hAnsi="宋体" w:eastAsia="宋体" w:cs="宋体"/>
                <w:color w:val="auto"/>
                <w:sz w:val="15"/>
                <w:szCs w:val="15"/>
                <w:lang w:bidi="ar"/>
              </w:rPr>
              <w:t>0.0325%</w:t>
            </w:r>
            <w:r>
              <w:rPr>
                <w:rStyle w:val="14"/>
                <w:rFonts w:hint="eastAsia" w:ascii="宋体" w:hAnsi="宋体" w:eastAsia="宋体" w:cs="宋体"/>
                <w:color w:val="auto"/>
                <w:sz w:val="15"/>
                <w:szCs w:val="15"/>
                <w:lang w:bidi="ar"/>
              </w:rPr>
              <w:t>（单笔收费金额不超过</w:t>
            </w:r>
            <w:r>
              <w:rPr>
                <w:rStyle w:val="21"/>
                <w:rFonts w:hint="eastAsia" w:ascii="宋体" w:hAnsi="宋体" w:eastAsia="宋体" w:cs="宋体"/>
                <w:color w:val="auto"/>
                <w:sz w:val="15"/>
                <w:szCs w:val="15"/>
                <w:lang w:bidi="ar"/>
              </w:rPr>
              <w:t>3.25</w:t>
            </w:r>
            <w:r>
              <w:rPr>
                <w:rStyle w:val="14"/>
                <w:rFonts w:hint="eastAsia" w:ascii="宋体" w:hAnsi="宋体" w:eastAsia="宋体" w:cs="宋体"/>
                <w:color w:val="auto"/>
                <w:sz w:val="15"/>
                <w:szCs w:val="15"/>
                <w:lang w:bidi="ar"/>
              </w:rPr>
              <w:t>元）</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发改价格〔</w:t>
            </w:r>
            <w:r>
              <w:rPr>
                <w:rStyle w:val="21"/>
                <w:rFonts w:hint="eastAsia" w:ascii="宋体" w:hAnsi="宋体" w:eastAsia="宋体" w:cs="宋体"/>
                <w:color w:val="auto"/>
                <w:sz w:val="15"/>
                <w:szCs w:val="15"/>
                <w:lang w:bidi="ar"/>
              </w:rPr>
              <w:t>2016</w:t>
            </w:r>
            <w:r>
              <w:rPr>
                <w:rStyle w:val="14"/>
                <w:rFonts w:hint="eastAsia" w:ascii="宋体" w:hAnsi="宋体" w:eastAsia="宋体" w:cs="宋体"/>
                <w:color w:val="auto"/>
                <w:sz w:val="15"/>
                <w:szCs w:val="15"/>
                <w:lang w:bidi="ar"/>
              </w:rPr>
              <w:t>〕</w:t>
            </w:r>
            <w:r>
              <w:rPr>
                <w:rStyle w:val="21"/>
                <w:rFonts w:hint="eastAsia" w:ascii="宋体" w:hAnsi="宋体" w:eastAsia="宋体" w:cs="宋体"/>
                <w:color w:val="auto"/>
                <w:sz w:val="15"/>
                <w:szCs w:val="15"/>
                <w:lang w:bidi="ar"/>
              </w:rPr>
              <w:t>557</w:t>
            </w:r>
            <w:r>
              <w:rPr>
                <w:rStyle w:val="14"/>
                <w:rFonts w:hint="eastAsia" w:ascii="宋体" w:hAnsi="宋体" w:eastAsia="宋体" w:cs="宋体"/>
                <w:color w:val="auto"/>
                <w:sz w:val="15"/>
                <w:szCs w:val="15"/>
                <w:lang w:bidi="ar"/>
              </w:rPr>
              <w:t>号、银发〔2021〕169号</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发展改革委、人民银行</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政府指导价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二、征信服务收费</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（一）机构查询企业信用报告收费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"http://www.ndrc.gov.cn/zwfwzx/zfdj/jggg/201908/t20190819_944847.html" </w:instrText>
            </w:r>
            <w:r>
              <w:fldChar w:fldCharType="separate"/>
            </w:r>
            <w:r>
              <w:rPr>
                <w:rStyle w:val="12"/>
                <w:rFonts w:hint="eastAsia" w:ascii="宋体" w:hAnsi="宋体" w:eastAsia="宋体" w:cs="宋体"/>
                <w:color w:val="auto"/>
                <w:sz w:val="15"/>
                <w:szCs w:val="15"/>
                <w:u w:val="none"/>
              </w:rPr>
              <w:t>发改价格规〔2019〕1318号、发改价格〔2020〕291号  发改价格〔2020〕1010号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政府指导价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（二）机构查询个人信用报告收费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"http://www.ndrc.gov.cn/zwfwzx/zfdj/jggg/201908/t20190819_944847.html" </w:instrText>
            </w:r>
            <w:r>
              <w:fldChar w:fldCharType="separate"/>
            </w:r>
            <w:r>
              <w:rPr>
                <w:rStyle w:val="12"/>
                <w:rFonts w:hint="eastAsia" w:ascii="宋体" w:hAnsi="宋体" w:eastAsia="宋体" w:cs="宋体"/>
                <w:color w:val="auto"/>
                <w:sz w:val="15"/>
                <w:szCs w:val="15"/>
                <w:u w:val="none"/>
              </w:rPr>
              <w:t>发改价格规〔2019〕1318号、发改价格〔2020〕291号  发改价格〔2020〕1010号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（三）应收账款质押登记收费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30</w:t>
            </w:r>
            <w:r>
              <w:rPr>
                <w:rStyle w:val="14"/>
                <w:rFonts w:hint="eastAsia" w:ascii="宋体" w:hAnsi="宋体" w:eastAsia="宋体" w:cs="宋体"/>
                <w:color w:val="auto"/>
                <w:sz w:val="15"/>
                <w:szCs w:val="15"/>
                <w:lang w:bidi="ar"/>
              </w:rPr>
              <w:t>元</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件</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年</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"http://www.ndrc.gov.cn/zwfwzx/zfdj/jggg/201908/t20190819_944847.html" </w:instrText>
            </w:r>
            <w:r>
              <w:fldChar w:fldCharType="separate"/>
            </w:r>
            <w:r>
              <w:rPr>
                <w:rStyle w:val="12"/>
                <w:rFonts w:hint="eastAsia" w:ascii="宋体" w:hAnsi="宋体" w:eastAsia="宋体" w:cs="宋体"/>
                <w:color w:val="auto"/>
                <w:sz w:val="15"/>
                <w:szCs w:val="15"/>
                <w:u w:val="none"/>
              </w:rPr>
              <w:t>发改价格规〔2019〕1318号、发改价格〔2020〕291号  发改价格〔2020〕1010号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（四）应收账款质押征信登记系统变更登记收费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10</w:t>
            </w:r>
            <w:r>
              <w:rPr>
                <w:rStyle w:val="14"/>
                <w:rFonts w:hint="eastAsia" w:ascii="宋体" w:hAnsi="宋体" w:eastAsia="宋体" w:cs="宋体"/>
                <w:color w:val="auto"/>
                <w:sz w:val="15"/>
                <w:szCs w:val="15"/>
                <w:lang w:bidi="ar"/>
              </w:rPr>
              <w:t>元</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件</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次</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"http://www.ndrc.gov.cn/zwfwzx/zfdj/jggg/201908/t20190819_944847.html" </w:instrText>
            </w:r>
            <w:r>
              <w:fldChar w:fldCharType="separate"/>
            </w:r>
            <w:r>
              <w:rPr>
                <w:rStyle w:val="12"/>
                <w:rFonts w:hint="eastAsia" w:ascii="宋体" w:hAnsi="宋体" w:eastAsia="宋体" w:cs="宋体"/>
                <w:color w:val="auto"/>
                <w:sz w:val="15"/>
                <w:szCs w:val="15"/>
                <w:u w:val="none"/>
              </w:rPr>
              <w:t>发改价格规〔2019〕1318号、发改价格〔2020〕291号  发改价格〔2020〕1010号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nil"/>
              <w:bottom w:val="nil"/>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（五）应收账款质押征信登记系统异议登记收费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10</w:t>
            </w:r>
            <w:r>
              <w:rPr>
                <w:rStyle w:val="14"/>
                <w:rFonts w:hint="eastAsia" w:ascii="宋体" w:hAnsi="宋体" w:eastAsia="宋体" w:cs="宋体"/>
                <w:color w:val="auto"/>
                <w:sz w:val="15"/>
                <w:szCs w:val="15"/>
                <w:lang w:bidi="ar"/>
              </w:rPr>
              <w:t>元</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件</w:t>
            </w:r>
            <w:r>
              <w:rPr>
                <w:rStyle w:val="21"/>
                <w:rFonts w:hint="eastAsia" w:ascii="宋体" w:hAnsi="宋体" w:eastAsia="宋体" w:cs="宋体"/>
                <w:color w:val="auto"/>
                <w:sz w:val="15"/>
                <w:szCs w:val="15"/>
                <w:lang w:bidi="ar"/>
              </w:rPr>
              <w:t>·</w:t>
            </w:r>
            <w:r>
              <w:rPr>
                <w:rStyle w:val="14"/>
                <w:rFonts w:hint="eastAsia" w:ascii="宋体" w:hAnsi="宋体" w:eastAsia="宋体" w:cs="宋体"/>
                <w:color w:val="auto"/>
                <w:sz w:val="15"/>
                <w:szCs w:val="15"/>
                <w:lang w:bidi="ar"/>
              </w:rPr>
              <w:t>次</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"http://www.ndrc.gov.cn/zwfwzx/zfdj/jggg/201908/t20190819_944847.html" </w:instrText>
            </w:r>
            <w:r>
              <w:fldChar w:fldCharType="separate"/>
            </w:r>
            <w:r>
              <w:rPr>
                <w:rStyle w:val="12"/>
                <w:rFonts w:hint="eastAsia" w:ascii="宋体" w:hAnsi="宋体" w:eastAsia="宋体" w:cs="宋体"/>
                <w:color w:val="auto"/>
                <w:sz w:val="15"/>
                <w:szCs w:val="15"/>
                <w:u w:val="none"/>
              </w:rPr>
              <w:t>发改价格规〔2019〕1318号、发改价格〔2020〕291号  发改价格〔2020〕1010号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人民银行</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nil"/>
              <w:bottom w:val="nil"/>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三、电信网和互联网网间结算价格</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具体收费项目详见相关文件</w:t>
            </w: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"http://www.miit.gov.cn/n1146285/n1146352/n3054355/n3057709/n3057714/c7511434/content.html" </w:instrText>
            </w:r>
            <w:r>
              <w:fldChar w:fldCharType="separate"/>
            </w:r>
            <w:r>
              <w:rPr>
                <w:rStyle w:val="12"/>
                <w:rFonts w:hint="eastAsia" w:ascii="宋体" w:hAnsi="宋体" w:eastAsia="宋体" w:cs="宋体"/>
                <w:color w:val="auto"/>
                <w:sz w:val="15"/>
                <w:szCs w:val="15"/>
                <w:u w:val="none"/>
              </w:rPr>
              <w:t>信部电〔2003〕454号</w:t>
            </w:r>
            <w:r>
              <w:rPr>
                <w:rStyle w:val="12"/>
                <w:rFonts w:hint="eastAsia" w:ascii="宋体" w:hAnsi="宋体" w:eastAsia="宋体" w:cs="宋体"/>
                <w:color w:val="auto"/>
                <w:sz w:val="15"/>
                <w:szCs w:val="15"/>
                <w:u w:val="none"/>
              </w:rPr>
              <w:fldChar w:fldCharType="end"/>
            </w:r>
          </w:p>
        </w:tc>
        <w:tc>
          <w:tcPr>
            <w:tcW w:w="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工业和信息化部</w:t>
            </w:r>
          </w:p>
        </w:tc>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工业和信息化部</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政府定价和政府指导价</w:t>
            </w:r>
          </w:p>
        </w:tc>
        <w:tc>
          <w:tcPr>
            <w:tcW w:w="543" w:type="dxa"/>
            <w:vMerge w:val="restart"/>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"http://www.miit.gov.cn/n1146285/n1146352/n3054355/n3057709/n3057714/c3654520/content.html" </w:instrText>
            </w:r>
            <w:r>
              <w:fldChar w:fldCharType="separate"/>
            </w:r>
            <w:r>
              <w:rPr>
                <w:rStyle w:val="12"/>
                <w:rFonts w:hint="eastAsia" w:ascii="宋体" w:hAnsi="宋体" w:eastAsia="宋体" w:cs="宋体"/>
                <w:color w:val="auto"/>
                <w:sz w:val="15"/>
                <w:szCs w:val="15"/>
                <w:u w:val="none"/>
              </w:rPr>
              <w:t>工信部电管函〔2009〕243号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"http://www.miit.gov.cn/n1146290/n1146402/n7039597/c7056203/content.html" </w:instrText>
            </w:r>
            <w:r>
              <w:fldChar w:fldCharType="separate"/>
            </w:r>
            <w:r>
              <w:rPr>
                <w:rStyle w:val="12"/>
                <w:rFonts w:hint="eastAsia" w:ascii="宋体" w:hAnsi="宋体" w:eastAsia="宋体" w:cs="宋体"/>
                <w:color w:val="auto"/>
                <w:sz w:val="15"/>
                <w:szCs w:val="15"/>
                <w:u w:val="none"/>
              </w:rPr>
              <w:t>工信部电管〔2013〕506号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"http://www.miit.gov.cn/n1146285/n1146352/n3054355/n3057709/n3057714/c7511363/content.html" </w:instrText>
            </w:r>
            <w:r>
              <w:fldChar w:fldCharType="separate"/>
            </w:r>
            <w:r>
              <w:rPr>
                <w:rStyle w:val="12"/>
                <w:rFonts w:hint="eastAsia" w:ascii="宋体" w:hAnsi="宋体" w:eastAsia="宋体" w:cs="宋体"/>
                <w:color w:val="auto"/>
                <w:sz w:val="15"/>
                <w:szCs w:val="15"/>
                <w:u w:val="none"/>
              </w:rPr>
              <w:t>工信部信管〔2018〕205号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四、民航垄断环节服务收费</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（一）机场航空性业务收费</w:t>
            </w: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Style w:val="14"/>
                <w:rFonts w:ascii="宋体" w:hAnsi="宋体" w:eastAsia="宋体" w:cs="宋体"/>
                <w:color w:val="auto"/>
                <w:sz w:val="15"/>
                <w:szCs w:val="15"/>
                <w:lang w:bidi="ar"/>
              </w:rPr>
            </w:pPr>
            <w:r>
              <w:rPr>
                <w:rFonts w:hint="eastAsia" w:ascii="宋体" w:hAnsi="宋体" w:eastAsia="宋体" w:cs="宋体"/>
                <w:kern w:val="0"/>
                <w:sz w:val="15"/>
                <w:szCs w:val="15"/>
                <w:lang w:bidi="ar"/>
              </w:rPr>
              <w:t>1</w:t>
            </w:r>
            <w:r>
              <w:rPr>
                <w:rStyle w:val="14"/>
                <w:rFonts w:hint="eastAsia" w:ascii="宋体" w:hAnsi="宋体" w:eastAsia="宋体" w:cs="宋体"/>
                <w:color w:val="auto"/>
                <w:sz w:val="15"/>
                <w:szCs w:val="15"/>
                <w:lang w:bidi="ar"/>
              </w:rPr>
              <w:t>、起降费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2</w:t>
            </w:r>
            <w:r>
              <w:rPr>
                <w:rStyle w:val="14"/>
                <w:rFonts w:hint="eastAsia" w:ascii="宋体" w:hAnsi="宋体" w:eastAsia="宋体" w:cs="宋体"/>
                <w:color w:val="auto"/>
                <w:sz w:val="15"/>
                <w:szCs w:val="15"/>
                <w:lang w:bidi="ar"/>
              </w:rPr>
              <w:t>、停场费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3</w:t>
            </w:r>
            <w:r>
              <w:rPr>
                <w:rStyle w:val="14"/>
                <w:rFonts w:hint="eastAsia" w:ascii="宋体" w:hAnsi="宋体" w:eastAsia="宋体" w:cs="宋体"/>
                <w:color w:val="auto"/>
                <w:sz w:val="15"/>
                <w:szCs w:val="15"/>
                <w:lang w:bidi="ar"/>
              </w:rPr>
              <w:t>、客桥费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4</w:t>
            </w:r>
            <w:r>
              <w:rPr>
                <w:rStyle w:val="14"/>
                <w:rFonts w:hint="eastAsia" w:ascii="宋体" w:hAnsi="宋体" w:eastAsia="宋体" w:cs="宋体"/>
                <w:color w:val="auto"/>
                <w:sz w:val="15"/>
                <w:szCs w:val="15"/>
                <w:lang w:bidi="ar"/>
              </w:rPr>
              <w:t>、旅客服务费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5</w:t>
            </w:r>
            <w:r>
              <w:rPr>
                <w:rStyle w:val="14"/>
                <w:rFonts w:hint="eastAsia" w:ascii="宋体" w:hAnsi="宋体" w:eastAsia="宋体" w:cs="宋体"/>
                <w:color w:val="auto"/>
                <w:sz w:val="15"/>
                <w:szCs w:val="15"/>
                <w:lang w:bidi="ar"/>
              </w:rPr>
              <w:t>、安检费</w:t>
            </w:r>
          </w:p>
          <w:p>
            <w:pPr>
              <w:snapToGrid w:val="0"/>
              <w:jc w:val="left"/>
              <w:textAlignment w:val="center"/>
              <w:rPr>
                <w:rFonts w:ascii="宋体" w:hAnsi="宋体" w:eastAsia="宋体" w:cs="宋体"/>
                <w:sz w:val="15"/>
                <w:szCs w:val="15"/>
              </w:rPr>
            </w:pPr>
            <w:r>
              <w:rPr>
                <w:rStyle w:val="14"/>
                <w:rFonts w:hint="eastAsia" w:ascii="宋体" w:hAnsi="宋体" w:eastAsia="宋体" w:cs="宋体"/>
                <w:color w:val="auto"/>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"http://www.ndrc.gov.cn/zcfb/zcfbqt/200802/t20080225_193278.html" </w:instrText>
            </w:r>
            <w:r>
              <w:fldChar w:fldCharType="separate"/>
            </w:r>
            <w:r>
              <w:rPr>
                <w:rStyle w:val="12"/>
                <w:rFonts w:hint="eastAsia" w:ascii="宋体" w:hAnsi="宋体" w:eastAsia="宋体" w:cs="宋体"/>
                <w:color w:val="auto"/>
                <w:sz w:val="15"/>
                <w:szCs w:val="15"/>
                <w:u w:val="none"/>
              </w:rPr>
              <w:t>民航发〔2007〕159号</w:t>
            </w:r>
            <w:r>
              <w:rPr>
                <w:rStyle w:val="12"/>
                <w:rFonts w:hint="eastAsia" w:ascii="宋体" w:hAnsi="宋体" w:eastAsia="宋体" w:cs="宋体"/>
                <w:color w:val="auto"/>
                <w:sz w:val="15"/>
                <w:szCs w:val="15"/>
                <w:u w:val="none"/>
              </w:rPr>
              <w:fldChar w:fldCharType="end"/>
            </w:r>
          </w:p>
        </w:tc>
        <w:tc>
          <w:tcPr>
            <w:tcW w:w="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政府定价和政府指导价</w:t>
            </w:r>
          </w:p>
        </w:tc>
        <w:tc>
          <w:tcPr>
            <w:tcW w:w="543" w:type="dxa"/>
            <w:vMerge w:val="restart"/>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"http://www.caac.gov.cn/XXGK/XXGK/JGGLL/ZCXWJ/JCSFGL/201603/t20160308_29514.html" </w:instrText>
            </w:r>
            <w:r>
              <w:fldChar w:fldCharType="separate"/>
            </w:r>
            <w:r>
              <w:rPr>
                <w:rStyle w:val="12"/>
                <w:rFonts w:hint="eastAsia" w:ascii="宋体" w:hAnsi="宋体" w:eastAsia="宋体" w:cs="宋体"/>
                <w:color w:val="auto"/>
                <w:sz w:val="15"/>
                <w:szCs w:val="15"/>
                <w:u w:val="none"/>
              </w:rPr>
              <w:t>民航发〔2013〕3号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"http://www.caac.gov.cn/XXGK/XXGK/ZFGW/201801/t20180111_48509.html" </w:instrText>
            </w:r>
            <w:r>
              <w:fldChar w:fldCharType="separate"/>
            </w:r>
            <w:r>
              <w:rPr>
                <w:rStyle w:val="12"/>
                <w:rFonts w:hint="eastAsia" w:ascii="宋体" w:hAnsi="宋体" w:eastAsia="宋体" w:cs="宋体"/>
                <w:color w:val="auto"/>
                <w:sz w:val="15"/>
                <w:szCs w:val="15"/>
                <w:u w:val="none"/>
              </w:rPr>
              <w:t>民航发〔2017〕18号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（二）机场地面服务收费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"http://www.caac.gov.cn/XXGK/XXGK/ZFGW/201801/t20180111_48509.html" </w:instrText>
            </w:r>
            <w:r>
              <w:fldChar w:fldCharType="separate"/>
            </w:r>
            <w:r>
              <w:rPr>
                <w:rStyle w:val="12"/>
                <w:rFonts w:hint="eastAsia" w:ascii="宋体" w:hAnsi="宋体" w:eastAsia="宋体" w:cs="宋体"/>
                <w:color w:val="auto"/>
                <w:sz w:val="15"/>
                <w:szCs w:val="15"/>
                <w:u w:val="none"/>
              </w:rPr>
              <w:t>民航发〔2017〕18号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政府指导价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（三）民航飞行校验服务收费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"http://www.caac.gov.cn/XXGK/XXGK/JGGLL/ZCXWJ/QTSFGL/201603/t20160304_29356.html" </w:instrText>
            </w:r>
            <w:r>
              <w:fldChar w:fldCharType="separate"/>
            </w:r>
            <w:r>
              <w:rPr>
                <w:rStyle w:val="12"/>
                <w:rFonts w:hint="eastAsia" w:ascii="宋体" w:hAnsi="宋体" w:eastAsia="宋体" w:cs="宋体"/>
                <w:color w:val="auto"/>
                <w:sz w:val="15"/>
                <w:szCs w:val="15"/>
                <w:u w:val="none"/>
              </w:rPr>
              <w:t>民航发〔2016〕47号</w:t>
            </w:r>
            <w:r>
              <w:rPr>
                <w:rStyle w:val="12"/>
                <w:rFonts w:hint="eastAsia" w:ascii="宋体" w:hAnsi="宋体" w:eastAsia="宋体" w:cs="宋体"/>
                <w:color w:val="auto"/>
                <w:sz w:val="15"/>
                <w:szCs w:val="15"/>
                <w:u w:val="none"/>
              </w:rPr>
              <w:fldChar w:fldCharType="end"/>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nil"/>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（四）民航空管服务收费</w:t>
            </w: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Style w:val="14"/>
                <w:rFonts w:ascii="宋体" w:hAnsi="宋体" w:eastAsia="宋体" w:cs="宋体"/>
                <w:color w:val="auto"/>
                <w:sz w:val="15"/>
                <w:szCs w:val="15"/>
                <w:lang w:bidi="ar"/>
              </w:rPr>
            </w:pPr>
            <w:r>
              <w:rPr>
                <w:rFonts w:hint="eastAsia" w:ascii="宋体" w:hAnsi="宋体" w:eastAsia="宋体" w:cs="宋体"/>
                <w:kern w:val="0"/>
                <w:sz w:val="15"/>
                <w:szCs w:val="15"/>
                <w:lang w:bidi="ar"/>
              </w:rPr>
              <w:t>1</w:t>
            </w:r>
            <w:r>
              <w:rPr>
                <w:rStyle w:val="14"/>
                <w:rFonts w:hint="eastAsia" w:ascii="宋体" w:hAnsi="宋体" w:eastAsia="宋体" w:cs="宋体"/>
                <w:color w:val="auto"/>
                <w:sz w:val="15"/>
                <w:szCs w:val="15"/>
                <w:lang w:bidi="ar"/>
              </w:rPr>
              <w:t>、进近指挥费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2</w:t>
            </w:r>
            <w:r>
              <w:rPr>
                <w:rStyle w:val="14"/>
                <w:rFonts w:hint="eastAsia" w:ascii="宋体" w:hAnsi="宋体" w:eastAsia="宋体" w:cs="宋体"/>
                <w:color w:val="auto"/>
                <w:sz w:val="15"/>
                <w:szCs w:val="15"/>
                <w:lang w:bidi="ar"/>
              </w:rPr>
              <w:t>、航路费</w:t>
            </w:r>
          </w:p>
          <w:p>
            <w:pPr>
              <w:snapToGrid w:val="0"/>
              <w:jc w:val="left"/>
              <w:textAlignment w:val="center"/>
              <w:rPr>
                <w:rFonts w:ascii="宋体" w:hAnsi="宋体" w:eastAsia="宋体" w:cs="宋体"/>
                <w:sz w:val="15"/>
                <w:szCs w:val="15"/>
              </w:rPr>
            </w:pPr>
            <w:r>
              <w:rPr>
                <w:rStyle w:val="14"/>
                <w:rFonts w:hint="eastAsia" w:ascii="宋体" w:hAnsi="宋体" w:eastAsia="宋体" w:cs="宋体"/>
                <w:color w:val="auto"/>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"http://www.caac.gov.cn/XXGK/XXGK/TZTG/201510/t20151022_2486.html" </w:instrText>
            </w:r>
            <w:r>
              <w:fldChar w:fldCharType="separate"/>
            </w:r>
            <w:r>
              <w:rPr>
                <w:rStyle w:val="12"/>
                <w:rFonts w:hint="eastAsia" w:ascii="宋体" w:hAnsi="宋体" w:eastAsia="宋体" w:cs="宋体"/>
                <w:color w:val="auto"/>
                <w:sz w:val="15"/>
                <w:szCs w:val="15"/>
                <w:u w:val="none"/>
              </w:rPr>
              <w:t>民航发〔2008〕2号</w:t>
            </w:r>
            <w:r>
              <w:rPr>
                <w:rStyle w:val="12"/>
                <w:rFonts w:hint="eastAsia" w:ascii="宋体" w:hAnsi="宋体" w:eastAsia="宋体" w:cs="宋体"/>
                <w:color w:val="auto"/>
                <w:sz w:val="15"/>
                <w:szCs w:val="15"/>
                <w:u w:val="none"/>
              </w:rPr>
              <w:fldChar w:fldCharType="end"/>
            </w:r>
          </w:p>
        </w:tc>
        <w:tc>
          <w:tcPr>
            <w:tcW w:w="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民航局</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vMerge w:val="restart"/>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"http://www.caac.gov.cn/XXGK/XXGK/JGGLL/ZCXWJ/KGSFGL/201603/t20160308_29515.html" </w:instrText>
            </w:r>
            <w:r>
              <w:fldChar w:fldCharType="separate"/>
            </w:r>
            <w:r>
              <w:rPr>
                <w:rStyle w:val="12"/>
                <w:rFonts w:hint="eastAsia" w:ascii="宋体" w:hAnsi="宋体" w:eastAsia="宋体" w:cs="宋体"/>
                <w:color w:val="auto"/>
                <w:sz w:val="15"/>
                <w:szCs w:val="15"/>
                <w:u w:val="none"/>
              </w:rPr>
              <w:t>民航发〔2012〕59号</w:t>
            </w:r>
            <w:r>
              <w:rPr>
                <w:rStyle w:val="12"/>
                <w:rFonts w:hint="eastAsia" w:ascii="宋体" w:hAnsi="宋体" w:eastAsia="宋体" w:cs="宋体"/>
                <w:color w:val="auto"/>
                <w:sz w:val="15"/>
                <w:szCs w:val="15"/>
                <w:u w:val="none"/>
              </w:rPr>
              <w:fldChar w:fldCharType="end"/>
            </w:r>
          </w:p>
        </w:tc>
        <w:tc>
          <w:tcPr>
            <w:tcW w:w="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543" w:type="dxa"/>
            <w:vMerge w:val="continue"/>
            <w:tcBorders>
              <w:top w:val="single" w:color="000000" w:sz="4" w:space="0"/>
              <w:left w:val="nil"/>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r>
      <w:tr>
        <w:trPr>
          <w:trHeight w:val="23" w:hRule="atLeast"/>
          <w:jc w:val="center"/>
        </w:trPr>
        <w:tc>
          <w:tcPr>
            <w:tcW w:w="522" w:type="dxa"/>
            <w:vMerge w:val="restart"/>
            <w:tcBorders>
              <w:top w:val="nil"/>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restart"/>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五、沿海、长江干线主要港口及其他所有对外开放港口的服务收费</w:t>
            </w:r>
          </w:p>
        </w:tc>
        <w:tc>
          <w:tcPr>
            <w:tcW w:w="920"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（一）船舶进出港、靠离泊服务收费</w:t>
            </w:r>
          </w:p>
        </w:tc>
        <w:tc>
          <w:tcPr>
            <w:tcW w:w="2016"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Style w:val="14"/>
                <w:rFonts w:ascii="宋体" w:hAnsi="宋体" w:eastAsia="宋体" w:cs="宋体"/>
                <w:color w:val="auto"/>
                <w:sz w:val="15"/>
                <w:szCs w:val="15"/>
                <w:lang w:bidi="ar"/>
              </w:rPr>
            </w:pPr>
            <w:r>
              <w:rPr>
                <w:rFonts w:hint="eastAsia" w:ascii="宋体" w:hAnsi="宋体" w:eastAsia="宋体" w:cs="宋体"/>
                <w:kern w:val="0"/>
                <w:sz w:val="15"/>
                <w:szCs w:val="15"/>
                <w:lang w:bidi="ar"/>
              </w:rPr>
              <w:t>1</w:t>
            </w:r>
            <w:r>
              <w:rPr>
                <w:rStyle w:val="14"/>
                <w:rFonts w:hint="eastAsia" w:ascii="宋体" w:hAnsi="宋体" w:eastAsia="宋体" w:cs="宋体"/>
                <w:color w:val="auto"/>
                <w:sz w:val="15"/>
                <w:szCs w:val="15"/>
                <w:lang w:bidi="ar"/>
              </w:rPr>
              <w:t>、引航（移泊）费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2</w:t>
            </w:r>
            <w:r>
              <w:rPr>
                <w:rStyle w:val="14"/>
                <w:rFonts w:hint="eastAsia" w:ascii="宋体" w:hAnsi="宋体" w:eastAsia="宋体" w:cs="宋体"/>
                <w:color w:val="auto"/>
                <w:sz w:val="15"/>
                <w:szCs w:val="15"/>
                <w:lang w:bidi="ar"/>
              </w:rPr>
              <w:t>、拖轮费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3</w:t>
            </w:r>
            <w:r>
              <w:rPr>
                <w:rStyle w:val="14"/>
                <w:rFonts w:hint="eastAsia" w:ascii="宋体" w:hAnsi="宋体" w:eastAsia="宋体" w:cs="宋体"/>
                <w:color w:val="auto"/>
                <w:sz w:val="15"/>
                <w:szCs w:val="15"/>
                <w:lang w:bidi="ar"/>
              </w:rPr>
              <w:t>、停泊费</w:t>
            </w:r>
          </w:p>
          <w:p>
            <w:pPr>
              <w:snapToGrid w:val="0"/>
              <w:jc w:val="left"/>
              <w:textAlignment w:val="center"/>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4</w:t>
            </w:r>
            <w:r>
              <w:rPr>
                <w:rStyle w:val="14"/>
                <w:rFonts w:hint="eastAsia" w:ascii="宋体" w:hAnsi="宋体" w:eastAsia="宋体" w:cs="宋体"/>
                <w:color w:val="auto"/>
                <w:sz w:val="15"/>
                <w:szCs w:val="15"/>
                <w:lang w:bidi="ar"/>
              </w:rPr>
              <w:t>、围油栏使用费</w:t>
            </w:r>
          </w:p>
          <w:p>
            <w:pPr>
              <w:snapToGrid w:val="0"/>
              <w:jc w:val="left"/>
              <w:textAlignment w:val="center"/>
              <w:rPr>
                <w:rFonts w:ascii="宋体" w:hAnsi="宋体" w:eastAsia="宋体" w:cs="宋体"/>
                <w:sz w:val="15"/>
                <w:szCs w:val="15"/>
              </w:rPr>
            </w:pPr>
            <w:r>
              <w:rPr>
                <w:rStyle w:val="14"/>
                <w:rFonts w:hint="eastAsia" w:ascii="宋体" w:hAnsi="宋体" w:eastAsia="宋体" w:cs="宋体"/>
                <w:color w:val="auto"/>
                <w:sz w:val="15"/>
                <w:szCs w:val="15"/>
                <w:lang w:bidi="ar"/>
              </w:rPr>
              <w:t>具体收费标准详见相关文件</w:t>
            </w:r>
          </w:p>
        </w:tc>
        <w:tc>
          <w:tcPr>
            <w:tcW w:w="1266"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fldChar w:fldCharType="begin"/>
            </w:r>
            <w:r>
              <w:instrText xml:space="preserve"> HYPERLINK "http://xxgk.mot.gov.cn/jigou/syj/201903/t20190318_3177402.html" </w:instrText>
            </w:r>
            <w:r>
              <w:fldChar w:fldCharType="separate"/>
            </w:r>
            <w:r>
              <w:rPr>
                <w:rStyle w:val="12"/>
                <w:rFonts w:hint="eastAsia" w:ascii="宋体" w:hAnsi="宋体" w:eastAsia="宋体" w:cs="宋体"/>
                <w:color w:val="auto"/>
                <w:sz w:val="15"/>
                <w:szCs w:val="15"/>
                <w:u w:val="none"/>
              </w:rPr>
              <w:t>交水规〔2019〕2号</w:t>
            </w:r>
            <w:r>
              <w:rPr>
                <w:rStyle w:val="12"/>
                <w:rFonts w:hint="eastAsia" w:ascii="宋体" w:hAnsi="宋体" w:eastAsia="宋体" w:cs="宋体"/>
                <w:color w:val="auto"/>
                <w:sz w:val="15"/>
                <w:szCs w:val="15"/>
                <w:u w:val="none"/>
              </w:rPr>
              <w:fldChar w:fldCharType="end"/>
            </w:r>
          </w:p>
        </w:tc>
        <w:tc>
          <w:tcPr>
            <w:tcW w:w="578"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交通运输部、发展改革委</w:t>
            </w:r>
          </w:p>
        </w:tc>
        <w:tc>
          <w:tcPr>
            <w:tcW w:w="604"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w:t>
            </w:r>
          </w:p>
        </w:tc>
        <w:tc>
          <w:tcPr>
            <w:tcW w:w="610" w:type="dxa"/>
            <w:tcBorders>
              <w:top w:val="nil"/>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nil"/>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nil"/>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740" w:type="dxa"/>
            <w:tcBorders>
              <w:top w:val="nil"/>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政府指导价</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（二）货物港务费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交水规〔2019〕2号、交水发〔2020〕33号、交水发〔2020〕67号</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522"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jc w:val="center"/>
              <w:rPr>
                <w:rFonts w:ascii="宋体" w:hAnsi="宋体" w:eastAsia="宋体" w:cs="宋体"/>
                <w:sz w:val="15"/>
                <w:szCs w:val="15"/>
              </w:rPr>
            </w:pPr>
          </w:p>
        </w:tc>
        <w:tc>
          <w:tcPr>
            <w:tcW w:w="941" w:type="dxa"/>
            <w:vMerge w:val="continue"/>
            <w:tcBorders>
              <w:top w:val="nil"/>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（三）港口设施保安费</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具体收费标准详见相关文件</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交水规〔2019〕2号、交水发〔2020〕33号、交水发〔2020〕67号</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交通运输部、发展改革委</w:t>
            </w:r>
          </w:p>
        </w:tc>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交通运输部</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政府定价</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宋体" w:hAnsi="宋体" w:eastAsia="宋体" w:cs="宋体"/>
                <w:sz w:val="15"/>
                <w:szCs w:val="15"/>
              </w:rPr>
            </w:pPr>
          </w:p>
        </w:tc>
      </w:tr>
      <w:tr>
        <w:trPr>
          <w:trHeight w:val="23" w:hRule="atLeast"/>
          <w:jc w:val="center"/>
        </w:trPr>
        <w:tc>
          <w:tcPr>
            <w:tcW w:w="10086" w:type="dxa"/>
            <w:gridSpan w:val="12"/>
            <w:tcBorders>
              <w:top w:val="nil"/>
              <w:left w:val="nil"/>
              <w:bottom w:val="nil"/>
              <w:right w:val="nil"/>
            </w:tcBorders>
            <w:shd w:val="clear" w:color="auto" w:fill="auto"/>
          </w:tcPr>
          <w:p>
            <w:pPr>
              <w:snapToGrid w:val="0"/>
              <w:jc w:val="left"/>
              <w:textAlignment w:val="top"/>
              <w:rPr>
                <w:rFonts w:ascii="宋体" w:hAnsi="宋体" w:eastAsia="宋体" w:cs="宋体"/>
                <w:kern w:val="0"/>
                <w:sz w:val="15"/>
                <w:szCs w:val="15"/>
                <w:lang w:bidi="ar"/>
              </w:rPr>
            </w:pPr>
            <w:r>
              <w:rPr>
                <w:rFonts w:hint="eastAsia" w:ascii="宋体" w:hAnsi="宋体" w:eastAsia="宋体" w:cs="宋体"/>
                <w:kern w:val="0"/>
                <w:sz w:val="15"/>
                <w:szCs w:val="15"/>
                <w:lang w:bidi="ar"/>
              </w:rPr>
              <w:t>注：</w:t>
            </w:r>
          </w:p>
          <w:p>
            <w:pPr>
              <w:snapToGrid w:val="0"/>
              <w:jc w:val="left"/>
              <w:textAlignment w:val="top"/>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1.</w:t>
            </w:r>
            <w:r>
              <w:rPr>
                <w:rStyle w:val="14"/>
                <w:rFonts w:hint="eastAsia" w:ascii="宋体" w:hAnsi="宋体" w:eastAsia="宋体" w:cs="宋体"/>
                <w:color w:val="auto"/>
                <w:sz w:val="15"/>
                <w:szCs w:val="15"/>
                <w:lang w:bidi="ar"/>
              </w:rPr>
              <w:t>商业银行基础服务费中本票手续费、本票挂失费、本票工本费、银行汇票手续费、银行汇票挂失费和银行汇票工本费</w:t>
            </w:r>
            <w:r>
              <w:rPr>
                <w:rStyle w:val="21"/>
                <w:rFonts w:hint="eastAsia" w:ascii="宋体" w:hAnsi="宋体" w:eastAsia="宋体" w:cs="宋体"/>
                <w:color w:val="auto"/>
                <w:sz w:val="15"/>
                <w:szCs w:val="15"/>
                <w:lang w:bidi="ar"/>
              </w:rPr>
              <w:t>6</w:t>
            </w:r>
            <w:r>
              <w:rPr>
                <w:rStyle w:val="14"/>
                <w:rFonts w:hint="eastAsia" w:ascii="宋体" w:hAnsi="宋体" w:eastAsia="宋体" w:cs="宋体"/>
                <w:color w:val="auto"/>
                <w:sz w:val="15"/>
                <w:szCs w:val="15"/>
                <w:lang w:bidi="ar"/>
              </w:rPr>
              <w:t>项暂停收取，免收本行个人现金转账汇款手续费，自</w:t>
            </w:r>
            <w:r>
              <w:rPr>
                <w:rStyle w:val="21"/>
                <w:rFonts w:hint="eastAsia" w:ascii="宋体" w:hAnsi="宋体" w:eastAsia="宋体" w:cs="宋体"/>
                <w:color w:val="auto"/>
                <w:sz w:val="15"/>
                <w:szCs w:val="15"/>
                <w:lang w:bidi="ar"/>
              </w:rPr>
              <w:t>2017</w:t>
            </w:r>
            <w:r>
              <w:rPr>
                <w:rStyle w:val="14"/>
                <w:rFonts w:hint="eastAsia" w:ascii="宋体" w:hAnsi="宋体" w:eastAsia="宋体" w:cs="宋体"/>
                <w:color w:val="auto"/>
                <w:sz w:val="15"/>
                <w:szCs w:val="15"/>
                <w:lang w:bidi="ar"/>
              </w:rPr>
              <w:t>年</w:t>
            </w:r>
            <w:r>
              <w:rPr>
                <w:rStyle w:val="21"/>
                <w:rFonts w:hint="eastAsia" w:ascii="宋体" w:hAnsi="宋体" w:eastAsia="宋体" w:cs="宋体"/>
                <w:color w:val="auto"/>
                <w:sz w:val="15"/>
                <w:szCs w:val="15"/>
                <w:lang w:bidi="ar"/>
              </w:rPr>
              <w:t>8</w:t>
            </w:r>
            <w:r>
              <w:rPr>
                <w:rStyle w:val="14"/>
                <w:rFonts w:hint="eastAsia" w:ascii="宋体" w:hAnsi="宋体" w:eastAsia="宋体" w:cs="宋体"/>
                <w:color w:val="auto"/>
                <w:sz w:val="15"/>
                <w:szCs w:val="15"/>
                <w:lang w:bidi="ar"/>
              </w:rPr>
              <w:t>月</w:t>
            </w:r>
            <w:r>
              <w:rPr>
                <w:rStyle w:val="21"/>
                <w:rFonts w:hint="eastAsia" w:ascii="宋体" w:hAnsi="宋体" w:eastAsia="宋体" w:cs="宋体"/>
                <w:color w:val="auto"/>
                <w:sz w:val="15"/>
                <w:szCs w:val="15"/>
                <w:lang w:bidi="ar"/>
              </w:rPr>
              <w:t>1</w:t>
            </w:r>
            <w:r>
              <w:rPr>
                <w:rStyle w:val="14"/>
                <w:rFonts w:hint="eastAsia" w:ascii="宋体" w:hAnsi="宋体" w:eastAsia="宋体" w:cs="宋体"/>
                <w:color w:val="auto"/>
                <w:sz w:val="15"/>
                <w:szCs w:val="15"/>
                <w:lang w:bidi="ar"/>
              </w:rPr>
              <w:t>日起实施；</w:t>
            </w:r>
          </w:p>
          <w:p>
            <w:pPr>
              <w:snapToGrid w:val="0"/>
              <w:jc w:val="left"/>
              <w:textAlignment w:val="top"/>
              <w:rPr>
                <w:rStyle w:val="14"/>
                <w:rFonts w:ascii="宋体" w:hAnsi="宋体" w:eastAsia="宋体" w:cs="宋体"/>
                <w:color w:val="auto"/>
                <w:sz w:val="15"/>
                <w:szCs w:val="15"/>
                <w:lang w:bidi="ar"/>
              </w:rPr>
            </w:pPr>
            <w:r>
              <w:rPr>
                <w:rStyle w:val="21"/>
                <w:rFonts w:hint="eastAsia" w:ascii="宋体" w:hAnsi="宋体" w:eastAsia="宋体" w:cs="宋体"/>
                <w:color w:val="auto"/>
                <w:sz w:val="15"/>
                <w:szCs w:val="15"/>
                <w:lang w:bidi="ar"/>
              </w:rPr>
              <w:t>2.</w:t>
            </w:r>
            <w:r>
              <w:rPr>
                <w:rStyle w:val="14"/>
                <w:rFonts w:hint="eastAsia" w:ascii="宋体" w:hAnsi="宋体" w:eastAsia="宋体" w:cs="宋体"/>
                <w:color w:val="auto"/>
                <w:sz w:val="15"/>
                <w:szCs w:val="15"/>
                <w:lang w:bidi="ar"/>
              </w:rPr>
              <w:t>增值税税控系统产品及维护服务价格暂按现行办法管理，自</w:t>
            </w:r>
            <w:r>
              <w:rPr>
                <w:rStyle w:val="21"/>
                <w:rFonts w:hint="eastAsia" w:ascii="宋体" w:hAnsi="宋体" w:eastAsia="宋体" w:cs="宋体"/>
                <w:color w:val="auto"/>
                <w:sz w:val="15"/>
                <w:szCs w:val="15"/>
                <w:lang w:bidi="ar"/>
              </w:rPr>
              <w:t>2020</w:t>
            </w:r>
            <w:r>
              <w:rPr>
                <w:rStyle w:val="14"/>
                <w:rFonts w:hint="eastAsia" w:ascii="宋体" w:hAnsi="宋体" w:eastAsia="宋体" w:cs="宋体"/>
                <w:color w:val="auto"/>
                <w:sz w:val="15"/>
                <w:szCs w:val="15"/>
                <w:lang w:bidi="ar"/>
              </w:rPr>
              <w:t>年</w:t>
            </w:r>
            <w:r>
              <w:rPr>
                <w:rStyle w:val="21"/>
                <w:rFonts w:hint="eastAsia" w:ascii="宋体" w:hAnsi="宋体" w:eastAsia="宋体" w:cs="宋体"/>
                <w:color w:val="auto"/>
                <w:sz w:val="15"/>
                <w:szCs w:val="15"/>
                <w:lang w:bidi="ar"/>
              </w:rPr>
              <w:t>1</w:t>
            </w:r>
            <w:r>
              <w:rPr>
                <w:rStyle w:val="14"/>
                <w:rFonts w:hint="eastAsia" w:ascii="宋体" w:hAnsi="宋体" w:eastAsia="宋体" w:cs="宋体"/>
                <w:color w:val="auto"/>
                <w:sz w:val="15"/>
                <w:szCs w:val="15"/>
                <w:lang w:bidi="ar"/>
              </w:rPr>
              <w:t>月</w:t>
            </w:r>
            <w:r>
              <w:rPr>
                <w:rStyle w:val="21"/>
                <w:rFonts w:hint="eastAsia" w:ascii="宋体" w:hAnsi="宋体" w:eastAsia="宋体" w:cs="宋体"/>
                <w:color w:val="auto"/>
                <w:sz w:val="15"/>
                <w:szCs w:val="15"/>
                <w:lang w:bidi="ar"/>
              </w:rPr>
              <w:t>1</w:t>
            </w:r>
            <w:r>
              <w:rPr>
                <w:rStyle w:val="14"/>
                <w:rFonts w:hint="eastAsia" w:ascii="宋体" w:hAnsi="宋体" w:eastAsia="宋体" w:cs="宋体"/>
                <w:color w:val="auto"/>
                <w:sz w:val="15"/>
                <w:szCs w:val="15"/>
                <w:lang w:bidi="ar"/>
              </w:rPr>
              <w:t>日起放开；</w:t>
            </w:r>
          </w:p>
          <w:p>
            <w:pPr>
              <w:snapToGrid w:val="0"/>
              <w:jc w:val="left"/>
              <w:textAlignment w:val="top"/>
              <w:rPr>
                <w:rFonts w:ascii="宋体" w:hAnsi="宋体" w:eastAsia="宋体" w:cs="宋体"/>
                <w:sz w:val="15"/>
                <w:szCs w:val="15"/>
              </w:rPr>
            </w:pPr>
            <w:r>
              <w:rPr>
                <w:rStyle w:val="21"/>
                <w:rFonts w:hint="eastAsia" w:ascii="宋体" w:hAnsi="宋体" w:eastAsia="宋体" w:cs="宋体"/>
                <w:color w:val="auto"/>
                <w:sz w:val="15"/>
                <w:szCs w:val="15"/>
                <w:lang w:bidi="ar"/>
              </w:rPr>
              <w:t>3.</w:t>
            </w:r>
            <w:r>
              <w:rPr>
                <w:rStyle w:val="14"/>
                <w:rFonts w:hint="eastAsia" w:ascii="宋体" w:hAnsi="宋体" w:eastAsia="宋体" w:cs="宋体"/>
                <w:color w:val="auto"/>
                <w:sz w:val="15"/>
                <w:szCs w:val="15"/>
                <w:lang w:bidi="ar"/>
              </w:rPr>
              <w:t>征信服务收费等项目，将结合事业单位分类改革研究调整收费管理方式。</w:t>
            </w:r>
          </w:p>
        </w:tc>
      </w:tr>
    </w:tbl>
    <w:p>
      <w:pPr>
        <w:rPr>
          <w:sz w:val="18"/>
          <w:szCs w:val="18"/>
        </w:rPr>
      </w:pPr>
      <w:r>
        <w:rPr>
          <w:sz w:val="18"/>
          <w:szCs w:val="18"/>
        </w:rPr>
        <w:br w:type="page"/>
      </w:r>
    </w:p>
    <w:p>
      <w:pPr>
        <w:snapToGrid w:val="0"/>
        <w:jc w:val="center"/>
        <w:textAlignment w:val="center"/>
        <w:rPr>
          <w:rFonts w:ascii="宋体" w:hAnsi="宋体" w:eastAsia="宋体" w:cs="宋体"/>
          <w:b/>
          <w:bCs/>
          <w:kern w:val="0"/>
          <w:sz w:val="15"/>
          <w:szCs w:val="15"/>
          <w:lang w:bidi="ar"/>
        </w:rPr>
      </w:pPr>
      <w:r>
        <w:rPr>
          <w:rFonts w:hint="eastAsia" w:ascii="宋体" w:hAnsi="宋体" w:eastAsia="宋体" w:cs="宋体"/>
          <w:b/>
          <w:bCs/>
          <w:kern w:val="0"/>
          <w:sz w:val="15"/>
          <w:szCs w:val="15"/>
          <w:lang w:bidi="ar"/>
        </w:rPr>
        <w:t>地方政府定价的涉企经营服务性收费清单（湖北省）</w:t>
      </w:r>
    </w:p>
    <w:tbl>
      <w:tblPr>
        <w:tblStyle w:val="9"/>
        <w:tblW w:w="524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482"/>
        <w:gridCol w:w="714"/>
        <w:gridCol w:w="864"/>
        <w:gridCol w:w="2206"/>
        <w:gridCol w:w="1411"/>
        <w:gridCol w:w="738"/>
        <w:gridCol w:w="636"/>
        <w:gridCol w:w="496"/>
        <w:gridCol w:w="590"/>
        <w:gridCol w:w="615"/>
        <w:gridCol w:w="459"/>
        <w:gridCol w:w="3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tblHeader/>
          <w:jc w:val="center"/>
        </w:trPr>
        <w:tc>
          <w:tcPr>
            <w:tcW w:w="481"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类型</w:t>
            </w:r>
          </w:p>
        </w:tc>
        <w:tc>
          <w:tcPr>
            <w:tcW w:w="714"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kern w:val="0"/>
                <w:sz w:val="15"/>
                <w:szCs w:val="15"/>
                <w:lang w:bidi="ar"/>
              </w:rPr>
            </w:pPr>
            <w:r>
              <w:rPr>
                <w:rFonts w:hint="eastAsia" w:ascii="宋体" w:hAnsi="宋体" w:eastAsia="宋体" w:cs="宋体"/>
                <w:b/>
                <w:bCs/>
                <w:color w:val="000000"/>
                <w:kern w:val="0"/>
                <w:sz w:val="15"/>
                <w:szCs w:val="15"/>
                <w:lang w:bidi="ar"/>
              </w:rPr>
              <w:t>一级</w:t>
            </w:r>
          </w:p>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项目</w:t>
            </w:r>
          </w:p>
        </w:tc>
        <w:tc>
          <w:tcPr>
            <w:tcW w:w="864"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kern w:val="0"/>
                <w:sz w:val="15"/>
                <w:szCs w:val="15"/>
                <w:lang w:bidi="ar"/>
              </w:rPr>
            </w:pPr>
            <w:r>
              <w:rPr>
                <w:rFonts w:hint="eastAsia" w:ascii="宋体" w:hAnsi="宋体" w:eastAsia="宋体" w:cs="宋体"/>
                <w:b/>
                <w:bCs/>
                <w:color w:val="000000"/>
                <w:kern w:val="0"/>
                <w:sz w:val="15"/>
                <w:szCs w:val="15"/>
                <w:lang w:bidi="ar"/>
              </w:rPr>
              <w:t>二级</w:t>
            </w:r>
          </w:p>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项目</w:t>
            </w:r>
          </w:p>
        </w:tc>
        <w:tc>
          <w:tcPr>
            <w:tcW w:w="2210"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收费标准</w:t>
            </w:r>
          </w:p>
        </w:tc>
        <w:tc>
          <w:tcPr>
            <w:tcW w:w="1413"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收费文件（文号）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kern w:val="0"/>
                <w:sz w:val="15"/>
                <w:szCs w:val="15"/>
                <w:lang w:bidi="ar"/>
              </w:rPr>
            </w:pPr>
            <w:r>
              <w:rPr>
                <w:rFonts w:hint="eastAsia" w:ascii="宋体" w:hAnsi="宋体" w:eastAsia="宋体" w:cs="宋体"/>
                <w:b/>
                <w:bCs/>
                <w:color w:val="000000"/>
                <w:kern w:val="0"/>
                <w:sz w:val="15"/>
                <w:szCs w:val="15"/>
                <w:lang w:bidi="ar"/>
              </w:rPr>
              <w:t>定价</w:t>
            </w:r>
          </w:p>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行业主管部门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kern w:val="0"/>
                <w:sz w:val="15"/>
                <w:szCs w:val="15"/>
                <w:lang w:bidi="ar"/>
              </w:rPr>
            </w:pPr>
            <w:r>
              <w:rPr>
                <w:rFonts w:hint="eastAsia" w:ascii="宋体" w:hAnsi="宋体" w:eastAsia="宋体" w:cs="宋体"/>
                <w:b/>
                <w:bCs/>
                <w:color w:val="000000"/>
                <w:kern w:val="0"/>
                <w:sz w:val="15"/>
                <w:szCs w:val="15"/>
                <w:lang w:bidi="ar"/>
              </w:rPr>
              <w:t>是否</w:t>
            </w:r>
          </w:p>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涉企</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是否行政审批前置</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是否涉进出口环节</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定价方法</w:t>
            </w:r>
          </w:p>
        </w:tc>
        <w:tc>
          <w:tcPr>
            <w:tcW w:w="381" w:type="dxa"/>
            <w:tcBorders>
              <w:tl2br w:val="nil"/>
              <w:tr2bl w:val="nil"/>
            </w:tcBorders>
            <w:shd w:val="clear" w:color="auto" w:fill="auto"/>
            <w:vAlign w:val="center"/>
          </w:tcPr>
          <w:p>
            <w:pPr>
              <w:snapToGrid w:val="0"/>
              <w:jc w:val="center"/>
              <w:textAlignment w:val="center"/>
              <w:rPr>
                <w:rFonts w:ascii="宋体" w:hAnsi="宋体" w:eastAsia="宋体" w:cs="宋体"/>
                <w:b/>
                <w:bCs/>
                <w:color w:val="000000"/>
                <w:sz w:val="15"/>
                <w:szCs w:val="15"/>
              </w:rPr>
            </w:pPr>
            <w:r>
              <w:rPr>
                <w:rFonts w:hint="eastAsia" w:ascii="宋体" w:hAnsi="宋体" w:eastAsia="宋体" w:cs="宋体"/>
                <w:b/>
                <w:bCs/>
                <w:color w:val="000000"/>
                <w:kern w:val="0"/>
                <w:sz w:val="15"/>
                <w:szCs w:val="15"/>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jc w:val="center"/>
              <w:textAlignment w:val="top"/>
              <w:rPr>
                <w:rFonts w:ascii="宋体" w:hAnsi="宋体" w:eastAsia="宋体" w:cs="宋体"/>
                <w:color w:val="000000"/>
                <w:sz w:val="15"/>
                <w:szCs w:val="15"/>
              </w:rPr>
            </w:pPr>
            <w:r>
              <w:rPr>
                <w:rFonts w:hint="eastAsia" w:ascii="宋体" w:hAnsi="宋体" w:eastAsia="宋体" w:cs="宋体"/>
                <w:color w:val="000000"/>
                <w:kern w:val="0"/>
                <w:sz w:val="15"/>
                <w:szCs w:val="15"/>
                <w:lang w:bidi="ar"/>
              </w:rPr>
              <w:t>交通服务收费</w:t>
            </w: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一、车辆通行费</w:t>
            </w: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经营性公路（含桥梁和隧道）通行费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一、客车</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一类客车：共5档，分别是0.4、0.5、0.55、0.64、0.76元/车公里。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二类客车：共5档，分别是0.6、0.75、0.825、0.96、1.14元/车公里。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三类客车：共5档，分别是0.8、1、1.1、1.28、1.52元/车公里。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四类客车：共5档，分别是1、1.25、1.375、1.6、1.9/车公里。</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二、货车</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一类货车：共三档，分别是0.4、0.5元、0.6元/车公里。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二类货车：共三档，分别是0.74、0.93、1.1/车公里。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三类货车：共三档，分别是1.21、1.53、1.79/车公里。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四类货车：共三档，分别是1.76、2.2、2.64/车公里。                        </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 xml:space="preserve">五类货车：共三档，分别是2.05、2.54、3.1/车公里。                              </w:t>
            </w:r>
          </w:p>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六类货车：共三档，分别是2.34、2.87、3.47/车公里。</w:t>
            </w:r>
          </w:p>
        </w:tc>
        <w:tc>
          <w:tcPr>
            <w:tcW w:w="1413"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交公路明电〔2020〕62号、鄂政发〔2020〕6号鄂交发〔2021〕6号、鄂政办发〔2021〕34号、鄂交发〔2021〕154号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省交通运输主管部门会同省价格主管部门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交通部门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vMerge w:val="restart"/>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二、机动车停放服务收费</w:t>
            </w: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公共文化、交通、体育、医疗、教育等公共设施配套停车场（库、泊位）， 具有垄断经营特征停车场（库、泊位）收费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各地收费标准在2-5元/小时之间。</w:t>
            </w:r>
          </w:p>
        </w:tc>
        <w:tc>
          <w:tcPr>
            <w:tcW w:w="1413"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价工服〔2016〕151号、武发改价格[2016]174号、武发改价格〔2017〕51号、黄价工服发〔2017〕47号、十价工服规〔2017〕17号、襄价服规〔2017〕5号、宜价服〔2017〕53号、荆价房服〔2018〕50号、荆价发〔2017〕46号、鄂州价服〔2017〕64号、孝价发〔2017〕88号、黄价工服〔2017〕152号、咸价费规〔2017〕1号、随发改价格〔2020〕7号、仙价工服〔2017〕2号、潜价工服〔2017〕33号、神物价规〔2017〕1号、恩施州发改价格〔2019〕38号、神发改价费（2021）8号</w:t>
            </w:r>
          </w:p>
        </w:tc>
        <w:tc>
          <w:tcPr>
            <w:tcW w:w="738"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市（州）、县人民政府</w:t>
            </w:r>
          </w:p>
        </w:tc>
        <w:tc>
          <w:tcPr>
            <w:tcW w:w="635"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住房城乡建设部门</w:t>
            </w:r>
          </w:p>
        </w:tc>
        <w:tc>
          <w:tcPr>
            <w:tcW w:w="495"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vMerge w:val="restart"/>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vMerge w:val="restart"/>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政府投资建设（设立）的停车场（库、泊位）收费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各地收费标准在2-5元/小时之间。</w:t>
            </w:r>
          </w:p>
        </w:tc>
        <w:tc>
          <w:tcPr>
            <w:tcW w:w="1413"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价工服〔2016〕151号、武发改价格[2016]174号、武发改价格〔2017〕51号、黄价工服发〔2017〕47号、十价工服规〔2017〕17号、襄价服规〔2017〕5号、宜价服〔2017〕53号、荆价房服〔2018〕50号、荆价发〔2017〕46号、鄂州价服〔2017〕64号、孝价发〔2017〕88号、黄价工服〔2017〕152号、咸价费规〔2017〕1号、随发改价格〔2020〕16号、仙价工服〔2017〕2号、潜价工服〔2017〕33号、神物价规〔2017〕1号、恩施州发改价格〔2019〕38号、神发改价费（2021）8号</w:t>
            </w:r>
          </w:p>
        </w:tc>
        <w:tc>
          <w:tcPr>
            <w:tcW w:w="738"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635"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495"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589"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615"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458" w:type="dxa"/>
            <w:vMerge w:val="continue"/>
            <w:tcBorders>
              <w:tl2br w:val="nil"/>
              <w:tr2bl w:val="nil"/>
            </w:tcBorders>
            <w:shd w:val="clear" w:color="auto" w:fill="auto"/>
            <w:vAlign w:val="center"/>
          </w:tcPr>
          <w:p>
            <w:pPr>
              <w:snapToGrid w:val="0"/>
              <w:jc w:val="center"/>
              <w:rPr>
                <w:rFonts w:ascii="宋体" w:hAnsi="宋体" w:eastAsia="宋体" w:cs="宋体"/>
                <w:color w:val="000000"/>
                <w:sz w:val="15"/>
                <w:szCs w:val="15"/>
              </w:rPr>
            </w:pPr>
          </w:p>
        </w:tc>
        <w:tc>
          <w:tcPr>
            <w:tcW w:w="381"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三、高速公路清障救援服务费</w:t>
            </w:r>
          </w:p>
        </w:tc>
        <w:tc>
          <w:tcPr>
            <w:tcW w:w="864"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1.事故车辆清障施救作业费：200元/小时，最高800元。</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2.事故和故障车辆拖曳（牵引）费：根据车型，基价（10公里）分别为300–600元，拖运（元/公里）分别为15–30元/公里，最高收费金额600–1400元/次。</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3.吊车作业费：根据车型，收费标准为2000–4000元/次；大于40吨货车收费标准4000元-8000元，由双方在规定幅度内协商确定。</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4.货物搬运、装卸费：120元/吨·次。</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5.事故车辆停放费：根据车型，收费标准为10、15元/车·天。</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6.放空费：200元/车·次。</w:t>
            </w:r>
          </w:p>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7.车辆租用费：150元/车·次。</w:t>
            </w:r>
          </w:p>
        </w:tc>
        <w:tc>
          <w:tcPr>
            <w:tcW w:w="1413"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鄂交发〔2019〕237号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省交通主管部门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交通部门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20"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四、汽车客运站服务收费</w:t>
            </w:r>
          </w:p>
        </w:tc>
        <w:tc>
          <w:tcPr>
            <w:tcW w:w="864"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1.客运代理费（元/车、次）：根据站级和信誉等级，以当日当次实际票价扣除旅客站务费、燃油附加费、通行费后余额的4–10%。</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2.客车发班费：根据车型和信誉等级，收费标准为75–195元/车月。</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3.旅客站务费：根据站级收费标准为1.5、1和0.5元/人次。</w:t>
            </w:r>
          </w:p>
          <w:p>
            <w:pPr>
              <w:snapToGrid w:val="0"/>
              <w:jc w:val="left"/>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4.安全检查服务费：人工检查 0.50元/车天，仪器检查县（市）内班线2元/车天，跨县（市）班线3.50元/车天。</w:t>
            </w:r>
          </w:p>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5.车辆停放费：根据车型，收费标准分别为8、5和3元/辆天。</w:t>
            </w:r>
          </w:p>
        </w:tc>
        <w:tc>
          <w:tcPr>
            <w:tcW w:w="1413"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鄂交发〔2019〕237号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省交通运输主管部门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交通部门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restart"/>
            <w:tcBorders>
              <w:tl2br w:val="nil"/>
              <w:tr2bl w:val="nil"/>
            </w:tcBorders>
            <w:shd w:val="clear" w:color="auto" w:fill="auto"/>
            <w:vAlign w:val="center"/>
          </w:tcPr>
          <w:p>
            <w:pPr>
              <w:snapToGrid w:val="0"/>
              <w:textAlignment w:val="top"/>
              <w:rPr>
                <w:rFonts w:ascii="宋体" w:hAnsi="宋体" w:eastAsia="宋体" w:cs="宋体"/>
                <w:color w:val="000000"/>
                <w:sz w:val="15"/>
                <w:szCs w:val="15"/>
              </w:rPr>
            </w:pPr>
            <w:r>
              <w:rPr>
                <w:rFonts w:hint="eastAsia" w:ascii="宋体" w:hAnsi="宋体" w:eastAsia="宋体" w:cs="宋体"/>
                <w:color w:val="000000"/>
                <w:kern w:val="0"/>
                <w:sz w:val="15"/>
                <w:szCs w:val="15"/>
                <w:lang w:bidi="ar"/>
              </w:rPr>
              <w:t>公用事业服务收费</w:t>
            </w:r>
          </w:p>
        </w:tc>
        <w:tc>
          <w:tcPr>
            <w:tcW w:w="714" w:type="dxa"/>
            <w:vMerge w:val="restart"/>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五、生活垃圾处理收费（按经营服务性收费管理的）</w:t>
            </w: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居民生活垃圾处理收费</w:t>
            </w:r>
          </w:p>
        </w:tc>
        <w:tc>
          <w:tcPr>
            <w:tcW w:w="2210"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1.50-8元/户·月，具体收费标准见相关文件。</w:t>
            </w:r>
          </w:p>
        </w:tc>
        <w:tc>
          <w:tcPr>
            <w:tcW w:w="1413"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黄价审批发[2014]28号、十价经〔2007〕64号、襄价服字〔2006〕97号、宜发改价管〔2019〕252号、荆政发〔2005〕19号、荆政办发〔2011〕100号、鄂州价费函〔2005〕53号、孝价房服〔2005〕58号、黄价环资〔2019〕11号、咸政规〔2020〕1号、随价农资规〔2013〕4号、恩市发改价〔2017〕32号、仙发改价格〔2021〕50号、天价管〔2018〕6号、潜价审规〔2012〕11号、神物价文〔2007〕18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市（州）、县人民政府</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住房城乡建设部门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continue"/>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非居民生活垃圾处理收费</w:t>
            </w:r>
          </w:p>
        </w:tc>
        <w:tc>
          <w:tcPr>
            <w:tcW w:w="2210" w:type="dxa"/>
            <w:tcBorders>
              <w:tl2br w:val="nil"/>
              <w:tr2bl w:val="nil"/>
            </w:tcBorders>
            <w:shd w:val="clear" w:color="auto" w:fill="auto"/>
            <w:vAlign w:val="center"/>
          </w:tcPr>
          <w:p>
            <w:pPr>
              <w:snapToGrid w:val="0"/>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1.机关、企事业单位、社会团体等按人头收费1.6-6元/人·月，按面积收费0.25-0.3元/㎡·月等；</w:t>
            </w:r>
          </w:p>
          <w:p>
            <w:pPr>
              <w:snapToGrid w:val="0"/>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2.餐饮业按经营面积收费0.6-3元/㎡·月，按桌收费3-20元/桌·月等；</w:t>
            </w:r>
          </w:p>
          <w:p>
            <w:pPr>
              <w:snapToGrid w:val="0"/>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3.宾馆业按经营面积收费0.15元-2元/㎡·月，按床位收费1.2-4元/床·月等；</w:t>
            </w:r>
          </w:p>
          <w:p>
            <w:pPr>
              <w:snapToGrid w:val="0"/>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4.门店摊点按经营面积收费0.4-3元/㎡·月等。</w:t>
            </w:r>
          </w:p>
          <w:p>
            <w:pPr>
              <w:snapToGrid w:val="0"/>
              <w:textAlignment w:val="center"/>
              <w:rPr>
                <w:rFonts w:ascii="宋体" w:hAnsi="宋体" w:eastAsia="宋体" w:cs="宋体"/>
                <w:color w:val="000000"/>
                <w:kern w:val="0"/>
                <w:sz w:val="15"/>
                <w:szCs w:val="15"/>
                <w:lang w:bidi="ar"/>
              </w:rPr>
            </w:pPr>
            <w:r>
              <w:rPr>
                <w:rFonts w:hint="eastAsia" w:ascii="宋体" w:hAnsi="宋体" w:eastAsia="宋体" w:cs="宋体"/>
                <w:color w:val="000000"/>
                <w:kern w:val="0"/>
                <w:sz w:val="15"/>
                <w:szCs w:val="15"/>
                <w:lang w:bidi="ar"/>
              </w:rPr>
              <w:t>5.建筑垃圾按面积收费1.6-10元/㎡，按重量收费3-40元/吨等。</w:t>
            </w:r>
          </w:p>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具体收费标准见相关文件。</w:t>
            </w:r>
          </w:p>
        </w:tc>
        <w:tc>
          <w:tcPr>
            <w:tcW w:w="1413"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黄价审批发[2014]28号、十价经〔2007〕64号、襄价服字〔2006〕97号、宜发改价管〔2019〕252号、荆政发〔2005〕19号、荆政办发〔2011〕100号、鄂州价费函〔2005〕53号、孝价房服〔2005〕58号、黄价环资〔2019〕11号、咸政规〔2020〕1号、随价农资规〔2013〕4号、恩市发改价〔2017〕32号、仙发改价格〔2021〕50号、天价管〔2018〕6号、潜价审规〔2012〕11号、神物价文〔2007〕18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市（州）、县人民政府</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住房城乡建设部门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continue"/>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六、有线数字电视基本收视维护费</w:t>
            </w:r>
          </w:p>
        </w:tc>
        <w:tc>
          <w:tcPr>
            <w:tcW w:w="864"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主终端每月不超过25元，副终端每月不超过8元。</w:t>
            </w:r>
          </w:p>
        </w:tc>
        <w:tc>
          <w:tcPr>
            <w:tcW w:w="1413"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鄂价工服〔2018〕55号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新闻出版广电部门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0"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七、碳排放权市场交易服务费</w:t>
            </w:r>
          </w:p>
        </w:tc>
        <w:tc>
          <w:tcPr>
            <w:tcW w:w="864" w:type="dxa"/>
            <w:tcBorders>
              <w:tl2br w:val="nil"/>
              <w:tr2bl w:val="nil"/>
            </w:tcBorders>
            <w:shd w:val="clear" w:color="auto" w:fill="auto"/>
            <w:vAlign w:val="center"/>
          </w:tcPr>
          <w:p>
            <w:pPr>
              <w:snapToGrid w:val="0"/>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一是采取协商议价方式实施交易的，按不高于实际交易额的1%收取，由买卖双方各承担50%；二是采取定价转让方式实施交易的，按实际交易额的4%向卖方收取。</w:t>
            </w:r>
          </w:p>
        </w:tc>
        <w:tc>
          <w:tcPr>
            <w:tcW w:w="1413"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鄂价环资〔2015〕64号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省发展改革、省财政部门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生态环境部门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restart"/>
            <w:tcBorders>
              <w:tl2br w:val="nil"/>
              <w:tr2bl w:val="nil"/>
            </w:tcBorders>
            <w:shd w:val="clear" w:color="auto" w:fill="auto"/>
          </w:tcPr>
          <w:p>
            <w:pPr>
              <w:snapToGrid w:val="0"/>
              <w:jc w:val="center"/>
              <w:textAlignment w:val="top"/>
              <w:rPr>
                <w:rFonts w:ascii="宋体" w:hAnsi="宋体" w:eastAsia="宋体" w:cs="宋体"/>
                <w:color w:val="000000"/>
                <w:sz w:val="15"/>
                <w:szCs w:val="15"/>
              </w:rPr>
            </w:pPr>
            <w:r>
              <w:rPr>
                <w:rFonts w:hint="eastAsia" w:ascii="宋体" w:hAnsi="宋体" w:eastAsia="宋体" w:cs="宋体"/>
                <w:color w:val="000000"/>
                <w:kern w:val="0"/>
                <w:sz w:val="15"/>
                <w:szCs w:val="15"/>
                <w:lang w:bidi="ar"/>
              </w:rPr>
              <w:t>其他特定服务收费</w:t>
            </w:r>
          </w:p>
        </w:tc>
        <w:tc>
          <w:tcPr>
            <w:tcW w:w="714" w:type="dxa"/>
            <w:vMerge w:val="restart"/>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八、公证服务收费</w:t>
            </w:r>
          </w:p>
        </w:tc>
        <w:tc>
          <w:tcPr>
            <w:tcW w:w="864" w:type="dxa"/>
            <w:tcBorders>
              <w:tl2br w:val="nil"/>
              <w:tr2bl w:val="nil"/>
            </w:tcBorders>
            <w:shd w:val="clear" w:color="auto" w:fill="auto"/>
            <w:vAlign w:val="center"/>
          </w:tcPr>
          <w:p>
            <w:pPr>
              <w:snapToGrid w:val="0"/>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证明法律事实收费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1.证明出生、生存、死亡、身份、曾用名、住所地、户籍注销、国籍、经历、学历、学位、职务、职称、资格、有无违法犯罪记录；婚姻状况，亲属关系、抚养事实、监护权、财产权、收入状况、纳税状况、票据拒绝、选票、指纹、不可抗力、意外事件、查无档案记载。每件收费80元。</w:t>
            </w:r>
          </w:p>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2.证明法人和其他组织的资格、资信，每件收费500元，其中涉企的，每件收费250元。</w:t>
            </w:r>
          </w:p>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3.证明不可抗力事件，每件收费300元，其中涉企的，每件收费150元。。</w:t>
            </w:r>
          </w:p>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4.制作票据拒绝证书，每件收费400元，其中涉企的，每件收费200元。。</w:t>
            </w:r>
          </w:p>
        </w:tc>
        <w:tc>
          <w:tcPr>
            <w:tcW w:w="1413" w:type="dxa"/>
            <w:tcBorders>
              <w:tl2br w:val="nil"/>
              <w:tr2bl w:val="nil"/>
            </w:tcBorders>
            <w:shd w:val="clear" w:color="auto" w:fill="auto"/>
            <w:noWrap/>
            <w:vAlign w:val="center"/>
          </w:tcPr>
          <w:p>
            <w:pPr>
              <w:snapToGrid w:val="0"/>
              <w:jc w:val="center"/>
              <w:textAlignment w:val="center"/>
              <w:rPr>
                <w:rFonts w:ascii="宋体" w:hAnsi="宋体" w:eastAsia="宋体" w:cs="宋体"/>
                <w:sz w:val="15"/>
                <w:szCs w:val="15"/>
              </w:rPr>
            </w:pPr>
            <w:r>
              <w:fldChar w:fldCharType="begin"/>
            </w:r>
            <w:r>
              <w:instrText xml:space="preserve"> HYPERLINK "http://fgw.hubei.gov.cn/ywjwj/tzgg/201911/t20191112_150357.shtml" </w:instrText>
            </w:r>
            <w:r>
              <w:fldChar w:fldCharType="separate"/>
            </w:r>
            <w:r>
              <w:rPr>
                <w:rStyle w:val="12"/>
                <w:rFonts w:hint="eastAsia" w:ascii="宋体" w:hAnsi="宋体" w:eastAsia="宋体" w:cs="宋体"/>
                <w:color w:val="auto"/>
                <w:sz w:val="15"/>
                <w:szCs w:val="15"/>
                <w:u w:val="none"/>
              </w:rPr>
              <w:t>鄂发改价调〔2021〕95号</w:t>
            </w:r>
            <w:r>
              <w:rPr>
                <w:rStyle w:val="12"/>
                <w:rFonts w:hint="eastAsia" w:ascii="宋体" w:hAnsi="宋体" w:eastAsia="宋体" w:cs="宋体"/>
                <w:color w:val="auto"/>
                <w:sz w:val="15"/>
                <w:szCs w:val="15"/>
                <w:u w:val="none"/>
              </w:rPr>
              <w:fldChar w:fldCharType="end"/>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省发展改革、省司法部门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司法部门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continue"/>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证明有法律意义文件文书收费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1.证明知识产权的享有、转让和使用许可文书，每件收费500元。</w:t>
            </w:r>
          </w:p>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2.证明法人或其他组织的授权委托书、公司章程、会议决议或其他法律文书，每件收费500元;证明其他有法律意义的文书，其中涉企的，每件收费400元。</w:t>
            </w:r>
          </w:p>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3.证明执照、身份证、户口本、结婚证、毕业证等证书；文书上的签名、印鉴、日期；文书的副本、影印本、节本、译本与原本相符，每件收费200元。</w:t>
            </w:r>
          </w:p>
          <w:p>
            <w:pPr>
              <w:snapToGrid w:val="0"/>
              <w:jc w:val="left"/>
              <w:textAlignment w:val="center"/>
              <w:rPr>
                <w:rFonts w:ascii="宋体" w:hAnsi="宋体" w:eastAsia="宋体" w:cs="宋体"/>
                <w:kern w:val="0"/>
                <w:sz w:val="15"/>
                <w:szCs w:val="15"/>
                <w:lang w:bidi="ar"/>
              </w:rPr>
            </w:pPr>
            <w:r>
              <w:rPr>
                <w:rFonts w:hint="eastAsia" w:ascii="宋体" w:hAnsi="宋体" w:eastAsia="宋体" w:cs="宋体"/>
                <w:kern w:val="0"/>
                <w:sz w:val="15"/>
                <w:szCs w:val="15"/>
                <w:lang w:bidi="ar"/>
              </w:rPr>
              <w:t>4、证明赋予债权文书具有强制执行效力，按债务总额的0.3%收取，其中涉企的按债务总额的0.2%收取。</w:t>
            </w:r>
          </w:p>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5、证明其他有法律意义的文书，每件收费100元。</w:t>
            </w:r>
          </w:p>
        </w:tc>
        <w:tc>
          <w:tcPr>
            <w:tcW w:w="1413" w:type="dxa"/>
            <w:tcBorders>
              <w:tl2br w:val="nil"/>
              <w:tr2bl w:val="nil"/>
            </w:tcBorders>
            <w:shd w:val="clear" w:color="auto" w:fill="auto"/>
            <w:noWrap/>
            <w:vAlign w:val="center"/>
          </w:tcPr>
          <w:p>
            <w:pPr>
              <w:snapToGrid w:val="0"/>
              <w:jc w:val="center"/>
              <w:textAlignment w:val="center"/>
              <w:rPr>
                <w:rFonts w:ascii="宋体" w:hAnsi="宋体" w:eastAsia="宋体" w:cs="宋体"/>
                <w:sz w:val="15"/>
                <w:szCs w:val="15"/>
              </w:rPr>
            </w:pPr>
            <w:r>
              <w:fldChar w:fldCharType="begin"/>
            </w:r>
            <w:r>
              <w:instrText xml:space="preserve"> HYPERLINK "http://fgw.hubei.gov.cn/ywjwj/tzgg/201911/t20191112_150357.shtml" </w:instrText>
            </w:r>
            <w:r>
              <w:fldChar w:fldCharType="separate"/>
            </w:r>
            <w:r>
              <w:rPr>
                <w:rStyle w:val="12"/>
                <w:rFonts w:hint="eastAsia" w:ascii="宋体" w:hAnsi="宋体" w:eastAsia="宋体" w:cs="宋体"/>
                <w:color w:val="auto"/>
                <w:sz w:val="15"/>
                <w:szCs w:val="15"/>
                <w:u w:val="none"/>
              </w:rPr>
              <w:t>鄂发改价调〔2021〕95号</w:t>
            </w:r>
            <w:r>
              <w:rPr>
                <w:rStyle w:val="12"/>
                <w:rFonts w:hint="eastAsia" w:ascii="宋体" w:hAnsi="宋体" w:eastAsia="宋体" w:cs="宋体"/>
                <w:color w:val="auto"/>
                <w:sz w:val="15"/>
                <w:szCs w:val="15"/>
                <w:u w:val="none"/>
              </w:rPr>
              <w:fldChar w:fldCharType="end"/>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省发展改革、省司法部门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司法部门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restart"/>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vMerge w:val="restart"/>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九、司法鉴定服务收费</w:t>
            </w: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法医类司法鉴定收费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具体收费标准见相关文件。</w:t>
            </w:r>
          </w:p>
        </w:tc>
        <w:tc>
          <w:tcPr>
            <w:tcW w:w="1413" w:type="dxa"/>
            <w:tcBorders>
              <w:tl2br w:val="nil"/>
              <w:tr2bl w:val="nil"/>
            </w:tcBorders>
            <w:shd w:val="clear" w:color="auto" w:fill="auto"/>
            <w:noWrap/>
            <w:vAlign w:val="center"/>
          </w:tcPr>
          <w:p>
            <w:pPr>
              <w:snapToGrid w:val="0"/>
              <w:jc w:val="center"/>
              <w:textAlignment w:val="center"/>
              <w:rPr>
                <w:rFonts w:ascii="宋体" w:hAnsi="宋体" w:eastAsia="宋体" w:cs="宋体"/>
                <w:sz w:val="15"/>
                <w:szCs w:val="15"/>
              </w:rPr>
            </w:pPr>
            <w:r>
              <w:fldChar w:fldCharType="begin"/>
            </w:r>
            <w:r>
              <w:instrText xml:space="preserve"> HYPERLINK "http://fgw.hubei.gov.cn/ywjwj/tzgg/201911/t20191112_150357.shtml" </w:instrText>
            </w:r>
            <w:r>
              <w:fldChar w:fldCharType="separate"/>
            </w:r>
            <w:r>
              <w:rPr>
                <w:rStyle w:val="12"/>
                <w:rFonts w:hint="eastAsia" w:ascii="宋体" w:hAnsi="宋体" w:eastAsia="宋体" w:cs="宋体"/>
                <w:color w:val="auto"/>
                <w:sz w:val="15"/>
                <w:szCs w:val="15"/>
                <w:u w:val="none"/>
              </w:rPr>
              <w:t>鄂发改价调〔2021〕96号</w:t>
            </w:r>
            <w:r>
              <w:rPr>
                <w:rStyle w:val="12"/>
                <w:rFonts w:hint="eastAsia" w:ascii="宋体" w:hAnsi="宋体" w:eastAsia="宋体" w:cs="宋体"/>
                <w:color w:val="auto"/>
                <w:sz w:val="15"/>
                <w:szCs w:val="15"/>
                <w:u w:val="none"/>
              </w:rPr>
              <w:fldChar w:fldCharType="end"/>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省发展改革、省司法部门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司法部门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continue"/>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物证类司法鉴定收费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具体收费标准见相关文件。</w:t>
            </w:r>
          </w:p>
        </w:tc>
        <w:tc>
          <w:tcPr>
            <w:tcW w:w="1413" w:type="dxa"/>
            <w:tcBorders>
              <w:tl2br w:val="nil"/>
              <w:tr2bl w:val="nil"/>
            </w:tcBorders>
            <w:shd w:val="clear" w:color="auto" w:fill="auto"/>
            <w:noWrap/>
            <w:vAlign w:val="center"/>
          </w:tcPr>
          <w:p>
            <w:pPr>
              <w:snapToGrid w:val="0"/>
              <w:jc w:val="center"/>
              <w:textAlignment w:val="center"/>
              <w:rPr>
                <w:rFonts w:ascii="宋体" w:hAnsi="宋体" w:eastAsia="宋体" w:cs="宋体"/>
                <w:sz w:val="15"/>
                <w:szCs w:val="15"/>
              </w:rPr>
            </w:pPr>
            <w:r>
              <w:fldChar w:fldCharType="begin"/>
            </w:r>
            <w:r>
              <w:instrText xml:space="preserve"> HYPERLINK "http://fgw.hubei.gov.cn/ywjwj/tzgg/201911/t20191112_150357.shtml" </w:instrText>
            </w:r>
            <w:r>
              <w:fldChar w:fldCharType="separate"/>
            </w:r>
            <w:r>
              <w:rPr>
                <w:rStyle w:val="12"/>
                <w:rFonts w:hint="eastAsia" w:ascii="宋体" w:hAnsi="宋体" w:eastAsia="宋体" w:cs="宋体"/>
                <w:color w:val="auto"/>
                <w:sz w:val="15"/>
                <w:szCs w:val="15"/>
                <w:u w:val="none"/>
              </w:rPr>
              <w:t>鄂发改价调〔2021〕96号</w:t>
            </w:r>
            <w:r>
              <w:rPr>
                <w:rStyle w:val="12"/>
                <w:rFonts w:hint="eastAsia" w:ascii="宋体" w:hAnsi="宋体" w:eastAsia="宋体" w:cs="宋体"/>
                <w:color w:val="auto"/>
                <w:sz w:val="15"/>
                <w:szCs w:val="15"/>
                <w:u w:val="none"/>
              </w:rPr>
              <w:fldChar w:fldCharType="end"/>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省发展改革、省司法部门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司法部门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vMerge w:val="continue"/>
            <w:tcBorders>
              <w:tl2br w:val="nil"/>
              <w:tr2bl w:val="nil"/>
            </w:tcBorders>
            <w:shd w:val="clear" w:color="auto" w:fill="auto"/>
          </w:tcPr>
          <w:p>
            <w:pPr>
              <w:snapToGrid w:val="0"/>
              <w:jc w:val="center"/>
              <w:rPr>
                <w:rFonts w:ascii="宋体" w:hAnsi="宋体" w:eastAsia="宋体" w:cs="宋体"/>
                <w:color w:val="000000"/>
                <w:sz w:val="15"/>
                <w:szCs w:val="15"/>
              </w:rPr>
            </w:pPr>
          </w:p>
        </w:tc>
        <w:tc>
          <w:tcPr>
            <w:tcW w:w="714" w:type="dxa"/>
            <w:vMerge w:val="continue"/>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86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声像资料类司法鉴定收费</w:t>
            </w: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具体收费标准见相关文件。</w:t>
            </w:r>
          </w:p>
        </w:tc>
        <w:tc>
          <w:tcPr>
            <w:tcW w:w="1413" w:type="dxa"/>
            <w:tcBorders>
              <w:tl2br w:val="nil"/>
              <w:tr2bl w:val="nil"/>
            </w:tcBorders>
            <w:shd w:val="clear" w:color="auto" w:fill="auto"/>
            <w:noWrap/>
            <w:vAlign w:val="center"/>
          </w:tcPr>
          <w:p>
            <w:pPr>
              <w:snapToGrid w:val="0"/>
              <w:jc w:val="center"/>
              <w:textAlignment w:val="center"/>
              <w:rPr>
                <w:rFonts w:ascii="宋体" w:hAnsi="宋体" w:eastAsia="宋体" w:cs="宋体"/>
                <w:sz w:val="15"/>
                <w:szCs w:val="15"/>
              </w:rPr>
            </w:pPr>
            <w:r>
              <w:fldChar w:fldCharType="begin"/>
            </w:r>
            <w:r>
              <w:instrText xml:space="preserve"> HYPERLINK "http://fgw.hubei.gov.cn/ywjwj/tzgg/201911/t20191112_150357.shtml" </w:instrText>
            </w:r>
            <w:r>
              <w:fldChar w:fldCharType="separate"/>
            </w:r>
            <w:r>
              <w:rPr>
                <w:rStyle w:val="12"/>
                <w:rFonts w:hint="eastAsia" w:ascii="宋体" w:hAnsi="宋体" w:eastAsia="宋体" w:cs="宋体"/>
                <w:color w:val="auto"/>
                <w:sz w:val="15"/>
                <w:szCs w:val="15"/>
                <w:u w:val="none"/>
              </w:rPr>
              <w:t>鄂发改价调〔2021〕96号</w:t>
            </w:r>
            <w:r>
              <w:rPr>
                <w:rStyle w:val="12"/>
                <w:rFonts w:hint="eastAsia" w:ascii="宋体" w:hAnsi="宋体" w:eastAsia="宋体" w:cs="宋体"/>
                <w:color w:val="auto"/>
                <w:sz w:val="15"/>
                <w:szCs w:val="15"/>
                <w:u w:val="none"/>
              </w:rPr>
              <w:fldChar w:fldCharType="end"/>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省发展改革、省司法部门</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司法部门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十、住宅前期物业服务收费</w:t>
            </w:r>
          </w:p>
        </w:tc>
        <w:tc>
          <w:tcPr>
            <w:tcW w:w="864"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住宅（前期）物业管理费：0.36-3.84元/平方米·月。</w:t>
            </w:r>
          </w:p>
        </w:tc>
        <w:tc>
          <w:tcPr>
            <w:tcW w:w="1413" w:type="dxa"/>
            <w:tcBorders>
              <w:tl2br w:val="nil"/>
              <w:tr2bl w:val="nil"/>
            </w:tcBorders>
            <w:shd w:val="clear" w:color="auto" w:fill="auto"/>
            <w:vAlign w:val="center"/>
          </w:tcPr>
          <w:p>
            <w:pPr>
              <w:snapToGrid w:val="0"/>
              <w:textAlignment w:val="center"/>
              <w:rPr>
                <w:rFonts w:ascii="宋体" w:hAnsi="宋体" w:eastAsia="宋体" w:cs="宋体"/>
                <w:sz w:val="15"/>
                <w:szCs w:val="15"/>
              </w:rPr>
            </w:pPr>
            <w:r>
              <w:rPr>
                <w:rFonts w:hint="eastAsia" w:ascii="宋体" w:hAnsi="宋体" w:eastAsia="宋体" w:cs="宋体"/>
                <w:kern w:val="0"/>
                <w:sz w:val="15"/>
                <w:szCs w:val="15"/>
                <w:lang w:bidi="ar"/>
              </w:rPr>
              <w:t>武发改价格〔2019〕298号、十价工服〔2018〕85号、襄价服字〔2018〕45号、宜发改服〔2018〕10号、荆发改价格〔2021〕77号、鄂州价服〔2018〕31号、孝发改发〔2020〕21号、黄发改价格〔2020〕102号、咸价费规〔2018〕1号、随价工服〔2018〕38号、恩施州函〔2020〕32号、仙发改价格〔2021〕49号、天价工服〔2018〕29号、天价工服规〔2018〕28号、潜价服〔2018〕27号、潜发改价格</w:t>
            </w:r>
            <w:r>
              <w:rPr>
                <w:rStyle w:val="22"/>
                <w:color w:val="auto"/>
                <w:sz w:val="15"/>
                <w:szCs w:val="15"/>
                <w:lang w:bidi="ar"/>
              </w:rPr>
              <w:t>〔</w:t>
            </w:r>
            <w:r>
              <w:rPr>
                <w:rStyle w:val="23"/>
                <w:rFonts w:hint="default"/>
                <w:color w:val="auto"/>
                <w:sz w:val="15"/>
                <w:szCs w:val="15"/>
                <w:lang w:bidi="ar"/>
              </w:rPr>
              <w:t>2020</w:t>
            </w:r>
            <w:r>
              <w:rPr>
                <w:rStyle w:val="22"/>
                <w:color w:val="auto"/>
                <w:sz w:val="15"/>
                <w:szCs w:val="15"/>
                <w:lang w:bidi="ar"/>
              </w:rPr>
              <w:t>〕</w:t>
            </w:r>
            <w:r>
              <w:rPr>
                <w:rStyle w:val="23"/>
                <w:rFonts w:hint="default"/>
                <w:color w:val="auto"/>
                <w:sz w:val="15"/>
                <w:szCs w:val="15"/>
                <w:lang w:bidi="ar"/>
              </w:rPr>
              <w:t>2号、黄发改价格[2020]408号、神发改价费（2021）29号</w:t>
            </w:r>
          </w:p>
        </w:tc>
        <w:tc>
          <w:tcPr>
            <w:tcW w:w="738"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市（州）、县人民政府制定</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住房城乡建设部门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481" w:type="dxa"/>
            <w:tcBorders>
              <w:tl2br w:val="nil"/>
              <w:tr2bl w:val="nil"/>
            </w:tcBorders>
            <w:shd w:val="clear" w:color="auto" w:fill="auto"/>
          </w:tcPr>
          <w:p>
            <w:pPr>
              <w:snapToGrid w:val="0"/>
              <w:rPr>
                <w:rFonts w:ascii="宋体" w:hAnsi="宋体" w:eastAsia="宋体" w:cs="宋体"/>
                <w:color w:val="000000"/>
                <w:sz w:val="15"/>
                <w:szCs w:val="15"/>
              </w:rPr>
            </w:pPr>
          </w:p>
        </w:tc>
        <w:tc>
          <w:tcPr>
            <w:tcW w:w="714" w:type="dxa"/>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十一、医疗废物处置费</w:t>
            </w:r>
          </w:p>
        </w:tc>
        <w:tc>
          <w:tcPr>
            <w:tcW w:w="864" w:type="dxa"/>
            <w:tcBorders>
              <w:tl2br w:val="nil"/>
              <w:tr2bl w:val="nil"/>
            </w:tcBorders>
            <w:shd w:val="clear" w:color="auto" w:fill="auto"/>
            <w:vAlign w:val="center"/>
          </w:tcPr>
          <w:p>
            <w:pPr>
              <w:snapToGrid w:val="0"/>
              <w:jc w:val="left"/>
              <w:rPr>
                <w:rFonts w:ascii="宋体" w:hAnsi="宋体" w:eastAsia="宋体" w:cs="宋体"/>
                <w:color w:val="000000"/>
                <w:sz w:val="15"/>
                <w:szCs w:val="15"/>
              </w:rPr>
            </w:pPr>
          </w:p>
        </w:tc>
        <w:tc>
          <w:tcPr>
            <w:tcW w:w="2210" w:type="dxa"/>
            <w:tcBorders>
              <w:tl2br w:val="nil"/>
              <w:tr2bl w:val="nil"/>
            </w:tcBorders>
            <w:shd w:val="clear" w:color="auto" w:fill="auto"/>
            <w:vAlign w:val="center"/>
          </w:tcPr>
          <w:p>
            <w:pPr>
              <w:snapToGrid w:val="0"/>
              <w:jc w:val="left"/>
              <w:textAlignment w:val="center"/>
              <w:rPr>
                <w:rFonts w:ascii="宋体" w:hAnsi="宋体" w:eastAsia="宋体" w:cs="宋体"/>
                <w:sz w:val="15"/>
                <w:szCs w:val="15"/>
              </w:rPr>
            </w:pPr>
            <w:r>
              <w:rPr>
                <w:rFonts w:hint="eastAsia" w:ascii="宋体" w:hAnsi="宋体" w:eastAsia="宋体" w:cs="宋体"/>
                <w:kern w:val="0"/>
                <w:sz w:val="15"/>
                <w:szCs w:val="15"/>
                <w:lang w:bidi="ar"/>
              </w:rPr>
              <w:t>有固定床位的医疗机构医疗废物处置收费1.1-3元/床·日；无固定床位的医疗机构医疗废物处置收费，按医疗单位收费40-70元/单位·月、按医疗废物重量收费2-3.5元/公斤。（具体收费标准见相关文件。）</w:t>
            </w:r>
          </w:p>
        </w:tc>
        <w:tc>
          <w:tcPr>
            <w:tcW w:w="1413" w:type="dxa"/>
            <w:tcBorders>
              <w:tl2br w:val="nil"/>
              <w:tr2bl w:val="nil"/>
            </w:tcBorders>
            <w:shd w:val="clear" w:color="auto" w:fill="auto"/>
            <w:vAlign w:val="center"/>
          </w:tcPr>
          <w:p>
            <w:pPr>
              <w:snapToGrid w:val="0"/>
              <w:textAlignment w:val="center"/>
              <w:rPr>
                <w:rFonts w:ascii="宋体" w:hAnsi="宋体" w:eastAsia="宋体" w:cs="宋体"/>
                <w:sz w:val="15"/>
                <w:szCs w:val="15"/>
              </w:rPr>
            </w:pPr>
            <w:r>
              <w:rPr>
                <w:rFonts w:hint="eastAsia" w:ascii="宋体" w:hAnsi="宋体" w:eastAsia="宋体" w:cs="宋体"/>
                <w:kern w:val="0"/>
                <w:sz w:val="15"/>
                <w:szCs w:val="15"/>
                <w:lang w:bidi="ar"/>
              </w:rPr>
              <w:t>黄发改农医〔2017〕366号、十价农医规[2013]69号、襄价费字〔2017〕79号、宜发改管〔2019〕62号，宜发改管〔2019〕133号、荆价管规〔2012〕15号、荆发改物价发〔2019〕183号、鄂州价〔2016〕15号、孝价发〔2017〕100号、黄价房地规〔2011〕9号、咸价费〔2016〕25号、随价文〔2011〕47号、恩施州价〔2011〕64号、仙价发〔2018〕28号、仙发改价格〔2020〕44号、天价农医规〔2015〕29号、潜价审规〔2016〕22号、神政发〔2017〕13 号</w:t>
            </w:r>
          </w:p>
        </w:tc>
        <w:tc>
          <w:tcPr>
            <w:tcW w:w="73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市（州）人民政府</w:t>
            </w:r>
          </w:p>
        </w:tc>
        <w:tc>
          <w:tcPr>
            <w:tcW w:w="63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生态环境部门</w:t>
            </w:r>
          </w:p>
        </w:tc>
        <w:tc>
          <w:tcPr>
            <w:tcW w:w="49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是</w:t>
            </w:r>
          </w:p>
        </w:tc>
        <w:tc>
          <w:tcPr>
            <w:tcW w:w="589"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615"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否</w:t>
            </w:r>
          </w:p>
        </w:tc>
        <w:tc>
          <w:tcPr>
            <w:tcW w:w="458" w:type="dxa"/>
            <w:tcBorders>
              <w:tl2br w:val="nil"/>
              <w:tr2bl w:val="nil"/>
            </w:tcBorders>
            <w:shd w:val="clear" w:color="auto" w:fill="auto"/>
            <w:vAlign w:val="center"/>
          </w:tcPr>
          <w:p>
            <w:pPr>
              <w:snapToGrid w:val="0"/>
              <w:jc w:val="center"/>
              <w:textAlignment w:val="center"/>
              <w:rPr>
                <w:rFonts w:ascii="宋体" w:hAnsi="宋体" w:eastAsia="宋体" w:cs="宋体"/>
                <w:sz w:val="15"/>
                <w:szCs w:val="15"/>
              </w:rPr>
            </w:pPr>
            <w:r>
              <w:rPr>
                <w:rFonts w:hint="eastAsia" w:ascii="宋体" w:hAnsi="宋体" w:eastAsia="宋体" w:cs="宋体"/>
                <w:kern w:val="0"/>
                <w:sz w:val="15"/>
                <w:szCs w:val="15"/>
                <w:lang w:bidi="ar"/>
              </w:rPr>
              <w:t>准许成本加合理收益</w:t>
            </w:r>
          </w:p>
        </w:tc>
        <w:tc>
          <w:tcPr>
            <w:tcW w:w="381" w:type="dxa"/>
            <w:tcBorders>
              <w:tl2br w:val="nil"/>
              <w:tr2bl w:val="nil"/>
            </w:tcBorders>
            <w:shd w:val="clear" w:color="auto" w:fill="auto"/>
            <w:vAlign w:val="center"/>
          </w:tcPr>
          <w:p>
            <w:pPr>
              <w:snapToGrid w:val="0"/>
              <w:rPr>
                <w:rFonts w:ascii="宋体" w:hAnsi="宋体" w:eastAsia="宋体" w:cs="宋体"/>
                <w:color w:val="00000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9593" w:type="dxa"/>
            <w:gridSpan w:val="12"/>
            <w:tcBorders>
              <w:tl2br w:val="nil"/>
              <w:tr2bl w:val="nil"/>
            </w:tcBorders>
            <w:shd w:val="clear" w:color="auto" w:fill="auto"/>
            <w:vAlign w:val="center"/>
          </w:tcPr>
          <w:p>
            <w:pPr>
              <w:snapToGrid w:val="0"/>
              <w:jc w:val="left"/>
              <w:textAlignment w:val="center"/>
              <w:rPr>
                <w:rFonts w:ascii="宋体" w:hAnsi="宋体" w:eastAsia="宋体" w:cs="宋体"/>
                <w:color w:val="000000"/>
                <w:sz w:val="15"/>
                <w:szCs w:val="15"/>
              </w:rPr>
            </w:pPr>
            <w:r>
              <w:rPr>
                <w:rFonts w:hint="eastAsia" w:ascii="宋体" w:hAnsi="宋体" w:eastAsia="宋体" w:cs="宋体"/>
                <w:color w:val="000000"/>
                <w:kern w:val="0"/>
                <w:sz w:val="15"/>
                <w:szCs w:val="15"/>
                <w:lang w:bidi="ar"/>
              </w:rPr>
              <w:t>注：移交省有关部门定价的，授权市（州）或市（州）、县定价（费）的，由有关部门、地方按照规定的定价权限和程序制定并公布。</w:t>
            </w:r>
          </w:p>
        </w:tc>
      </w:tr>
    </w:tbl>
    <w:p>
      <w:pPr>
        <w:rPr>
          <w:sz w:val="18"/>
          <w:szCs w:val="18"/>
        </w:rPr>
      </w:pPr>
    </w:p>
    <w:p>
      <w:pPr>
        <w:rPr>
          <w:rStyle w:val="13"/>
          <w:rFonts w:hint="default"/>
          <w:color w:val="auto"/>
          <w:lang w:bidi="ar"/>
        </w:rPr>
      </w:pPr>
      <w:r>
        <w:rPr>
          <w:rStyle w:val="13"/>
          <w:rFonts w:hint="default"/>
          <w:color w:val="auto"/>
          <w:lang w:bidi="ar"/>
        </w:rPr>
        <w:br w:type="page"/>
      </w:r>
    </w:p>
    <w:p>
      <w:pPr>
        <w:pStyle w:val="2"/>
        <w:widowControl/>
        <w:shd w:val="clear" w:color="auto" w:fill="FFFFFF"/>
        <w:snapToGrid w:val="0"/>
        <w:spacing w:before="0" w:beforeAutospacing="0" w:after="0" w:afterAutospacing="0"/>
        <w:jc w:val="center"/>
        <w:rPr>
          <w:rFonts w:hint="default" w:ascii="方正黑体_GBK" w:hAnsi="方正黑体_GBK" w:eastAsia="方正黑体_GBK" w:cs="方正黑体_GBK"/>
          <w:b w:val="0"/>
          <w:bCs/>
          <w:sz w:val="24"/>
          <w:szCs w:val="24"/>
          <w:shd w:val="clear" w:color="auto" w:fill="FFFFFF"/>
        </w:rPr>
      </w:pPr>
      <w:bookmarkStart w:id="2" w:name="_Toc21321"/>
      <w:r>
        <w:rPr>
          <w:rFonts w:ascii="方正黑体_GBK" w:hAnsi="方正黑体_GBK" w:eastAsia="方正黑体_GBK" w:cs="方正黑体_GBK"/>
          <w:b w:val="0"/>
          <w:bCs/>
          <w:sz w:val="24"/>
          <w:szCs w:val="24"/>
          <w:shd w:val="clear" w:color="auto" w:fill="FFFFFF"/>
        </w:rPr>
        <w:t>附件四：</w:t>
      </w:r>
      <w:r>
        <w:rPr>
          <w:rFonts w:hint="default" w:ascii="方正黑体_GBK" w:hAnsi="方正黑体_GBK" w:eastAsia="方正黑体_GBK" w:cs="方正黑体_GBK"/>
          <w:b w:val="0"/>
          <w:bCs/>
          <w:sz w:val="24"/>
          <w:szCs w:val="24"/>
          <w:shd w:val="clear" w:color="auto" w:fill="FFFFFF"/>
        </w:rPr>
        <w:t>湖北省涉企保证金目录清单</w:t>
      </w:r>
      <w:r>
        <w:rPr>
          <w:rFonts w:ascii="方正黑体_GBK" w:hAnsi="方正黑体_GBK" w:eastAsia="方正黑体_GBK" w:cs="方正黑体_GBK"/>
          <w:b w:val="0"/>
          <w:bCs/>
          <w:sz w:val="24"/>
          <w:szCs w:val="24"/>
          <w:shd w:val="clear" w:color="auto" w:fill="FFFFFF"/>
        </w:rPr>
        <w:t>（</w:t>
      </w:r>
      <w:r>
        <w:rPr>
          <w:rFonts w:hint="default" w:ascii="方正黑体_GBK" w:hAnsi="方正黑体_GBK" w:eastAsia="方正黑体_GBK" w:cs="方正黑体_GBK"/>
          <w:b w:val="0"/>
          <w:bCs/>
          <w:sz w:val="24"/>
          <w:szCs w:val="24"/>
          <w:shd w:val="clear" w:color="auto" w:fill="FFFFFF"/>
        </w:rPr>
        <w:t>2021年6</w:t>
      </w:r>
      <w:r>
        <w:rPr>
          <w:rFonts w:ascii="方正黑体_GBK" w:hAnsi="方正黑体_GBK" w:eastAsia="方正黑体_GBK" w:cs="方正黑体_GBK"/>
          <w:b w:val="0"/>
          <w:bCs/>
          <w:sz w:val="24"/>
          <w:szCs w:val="24"/>
          <w:shd w:val="clear" w:color="auto" w:fill="FFFFFF"/>
        </w:rPr>
        <w:t>月）</w:t>
      </w:r>
      <w:bookmarkEnd w:id="2"/>
    </w:p>
    <w:tbl>
      <w:tblPr>
        <w:tblStyle w:val="9"/>
        <w:tblW w:w="52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458"/>
        <w:gridCol w:w="633"/>
        <w:gridCol w:w="546"/>
        <w:gridCol w:w="2469"/>
        <w:gridCol w:w="1809"/>
        <w:gridCol w:w="185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483"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序号</w:t>
            </w:r>
          </w:p>
        </w:tc>
        <w:tc>
          <w:tcPr>
            <w:tcW w:w="670"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项目</w:t>
            </w:r>
          </w:p>
          <w:p>
            <w:pPr>
              <w:snapToGrid w:val="0"/>
              <w:jc w:val="center"/>
              <w:rPr>
                <w:rFonts w:ascii="宋体" w:hAnsi="宋体" w:eastAsia="宋体" w:cs="宋体"/>
                <w:b/>
                <w:bCs/>
                <w:sz w:val="15"/>
                <w:szCs w:val="15"/>
              </w:rPr>
            </w:pPr>
            <w:r>
              <w:rPr>
                <w:rFonts w:hint="eastAsia" w:ascii="宋体" w:hAnsi="宋体" w:eastAsia="宋体" w:cs="宋体"/>
                <w:b/>
                <w:bCs/>
                <w:sz w:val="15"/>
                <w:szCs w:val="15"/>
              </w:rPr>
              <w:t>名称</w:t>
            </w:r>
          </w:p>
        </w:tc>
        <w:tc>
          <w:tcPr>
            <w:tcW w:w="541"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设立单位</w:t>
            </w:r>
          </w:p>
        </w:tc>
        <w:tc>
          <w:tcPr>
            <w:tcW w:w="2643"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设立依据</w:t>
            </w:r>
          </w:p>
        </w:tc>
        <w:tc>
          <w:tcPr>
            <w:tcW w:w="1934"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征收标准</w:t>
            </w:r>
          </w:p>
        </w:tc>
        <w:tc>
          <w:tcPr>
            <w:tcW w:w="1982"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征收程序</w:t>
            </w:r>
          </w:p>
        </w:tc>
        <w:tc>
          <w:tcPr>
            <w:tcW w:w="1924" w:type="dxa"/>
            <w:tcBorders>
              <w:tl2br w:val="nil"/>
              <w:tr2bl w:val="nil"/>
            </w:tcBorders>
            <w:shd w:val="clear" w:color="auto" w:fill="FFFFFF"/>
            <w:vAlign w:val="center"/>
          </w:tcPr>
          <w:p>
            <w:pPr>
              <w:snapToGrid w:val="0"/>
              <w:jc w:val="center"/>
              <w:rPr>
                <w:rFonts w:ascii="宋体" w:hAnsi="宋体" w:eastAsia="宋体" w:cs="宋体"/>
                <w:b/>
                <w:bCs/>
                <w:sz w:val="15"/>
                <w:szCs w:val="15"/>
              </w:rPr>
            </w:pPr>
            <w:r>
              <w:rPr>
                <w:rFonts w:hint="eastAsia" w:ascii="宋体" w:hAnsi="宋体" w:eastAsia="宋体" w:cs="宋体"/>
                <w:b/>
                <w:bCs/>
                <w:sz w:val="15"/>
                <w:szCs w:val="15"/>
              </w:rPr>
              <w:t>返还时间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1</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投标保证金</w:t>
            </w:r>
          </w:p>
        </w:tc>
        <w:tc>
          <w:tcPr>
            <w:tcW w:w="541"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发展改革委</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《中华人民共和国招标投标法》《中华人民共和国招标投标法实施条例》</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投标保证金不得超过招标项目估算价的1%，</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根据招标文件具体要求执行.</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招标人最迟应当在书面合同签订后5日内向中标人和未中标的投标人退还投标保证金及银行同期存款利息。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2</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履约保证金</w:t>
            </w:r>
          </w:p>
        </w:tc>
        <w:tc>
          <w:tcPr>
            <w:tcW w:w="541"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发展改革委</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《中华人民共和国招标投标法》《中华人民共和国招标投标法实施条例》</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履约保证金不得超过中标合同金额的10%。</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根据招标文件或中标合同具体要求执行。</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根据中标合同约定，待中标人履行完合同约定权利义务事项后退还.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3</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政府采购履约保证金</w:t>
            </w:r>
          </w:p>
        </w:tc>
        <w:tc>
          <w:tcPr>
            <w:tcW w:w="541"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财政部</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《中华人民共和国政府采购法实施条例》</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履约保证金的数额不得超过政府采购合同金额的10%。</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由中标（成交）供应商与采购人签订采购合同时提交。</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由采购人根据采购合同约定，待供应商履行完合同约定权利义务事项后退还。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4</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工资保证金</w:t>
            </w:r>
          </w:p>
        </w:tc>
        <w:tc>
          <w:tcPr>
            <w:tcW w:w="541"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人力资源社会保障部</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国务院关于解决农民工问题的若干意见》（国发〔2006〕5号）《国务院办公厅转发解决企业工资拖欠问题部际联席会议关于推进企业解决工资拖欠问题若干意见的通知》（国办发〔2006〕91号）《国务院办公厅关于全面治理拖欠农民工工资问题的意见》（国办发〔2016〕1号）</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具体征收标准由地方法规规章、规范性文件设定并组织实施。建立工资保证金差异化缴存办法，对一定时期内未发生工资拖欠的企业实行减免措施，发生工资拖欠的企业适当提高缴存比例。</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具体征收程序由地方法规规章、规范性文件设定并组织实施”</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具体返还时间及返还程序由地方法规规章、规范性文件设定并组织实施.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5</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工程质量保证金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住房城乡建设部、财政部</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《国务院办公厅关于清理规范工程建设领域保证金的通知》（国办发〔2016〕49号）《住房城乡建设部财政部关于印发建设工程质量保证金管理办法的通知》（建质〔2016〕295号）</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保证金预留比例由发承包双方自行约定，但不得高于工程价款结算总额的1.5%.</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发包人与承包人在建设工程承包合同中约定，从应付的工程款中预留，可以银行保函方式缴纳工程质量保证金,采用工程质量担保、工程质量保险等其他保证方式的不得预留工程质量保证金。建筑企业缴纳履约保证金的，建设单位不得同时预留工程质量保证金。</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缺陷责任期结束后，承包人可向发包人提出返还保证金申请。发包人在接到承包人返还保证金申请后，应于14天内会同承包人按照合同约定的内容进行核实。如无异议，发包人应当按照约定将保证金返还给承包人</w:t>
            </w:r>
            <w:r>
              <w:rPr>
                <w:rFonts w:hint="eastAsia" w:ascii="宋体" w:hAnsi="宋体" w:eastAsia="宋体" w:cs="宋体"/>
                <w:sz w:val="15"/>
                <w:szCs w:val="15"/>
                <w:lang w:eastAsia="en-US"/>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6</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对外劳务合作风险处置备用金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商务部</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《对外劳务合作管理条例》《对外劳务合作风险处置备用金管理办法（试行）》（商务部、财政部令2014年第2号）</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对外劳务合作风险处置备用金缴存金额不低于人民币300万元。</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劳务合作企业应当自获得对外劳务合作经营资格并在工商行政管理部门登记之日起5个工作日内，在负贵审批的商务主管部门指定的银行缴存对外劳务合作风险处置备用金。备用金可以.用现金或银行保函形式缴存,</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劳务合作企业停止开展对外劳务合作的，应当对其派出的尚在国外工作的劳务人员作出妥善安排，并将安排方案连同两年内有效的备用金缴存凭证或者保函报商务主管部门备案。对外劳务合作企业自备案之日起两年内未发生针对其的劳务纠纷投诉或者诉讼的，可退还缴存的备用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7</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对外承包工程企业备用金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rPr>
            </w:pPr>
            <w:r>
              <w:rPr>
                <w:rFonts w:hint="eastAsia" w:ascii="宋体" w:hAnsi="宋体" w:eastAsia="宋体" w:cs="宋体"/>
                <w:sz w:val="15"/>
                <w:szCs w:val="15"/>
              </w:rPr>
              <w:t>商务部</w:t>
            </w:r>
          </w:p>
        </w:tc>
        <w:tc>
          <w:tcPr>
            <w:tcW w:w="2643"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《对外承包工程管理条例》</w:t>
            </w:r>
          </w:p>
          <w:p>
            <w:pPr>
              <w:snapToGrid w:val="0"/>
              <w:rPr>
                <w:rFonts w:ascii="宋体" w:hAnsi="宋体" w:eastAsia="宋体" w:cs="宋体"/>
                <w:sz w:val="15"/>
                <w:szCs w:val="15"/>
              </w:rPr>
            </w:pPr>
            <w:r>
              <w:rPr>
                <w:rFonts w:hint="eastAsia" w:ascii="宋体" w:hAnsi="宋体" w:eastAsia="宋体" w:cs="宋体"/>
                <w:sz w:val="15"/>
                <w:szCs w:val="15"/>
              </w:rPr>
              <w:t>《对外劳务合作风险处置备用金管理办法（试行）»（商务部、财政部令2014年第2号）</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对外承包工程企业备用金缴存标准暂为人民币20万</w:t>
            </w:r>
          </w:p>
          <w:p>
            <w:pPr>
              <w:snapToGrid w:val="0"/>
              <w:rPr>
                <w:rFonts w:ascii="宋体" w:hAnsi="宋体" w:eastAsia="宋体" w:cs="宋体"/>
                <w:sz w:val="15"/>
                <w:szCs w:val="15"/>
              </w:rPr>
            </w:pPr>
            <w:r>
              <w:rPr>
                <w:rFonts w:hint="eastAsia" w:ascii="宋体" w:hAnsi="宋体" w:eastAsia="宋体" w:cs="宋体"/>
                <w:sz w:val="15"/>
                <w:szCs w:val="15"/>
              </w:rPr>
              <w:t>713</w:t>
            </w:r>
            <w:r>
              <w:rPr>
                <w:rFonts w:hint="eastAsia" w:ascii="宋体" w:hAnsi="宋体" w:eastAsia="宋体" w:cs="宋体"/>
                <w:sz w:val="15"/>
                <w:szCs w:val="15"/>
                <w:lang w:eastAsia="en-US"/>
              </w:rPr>
              <w:t>a</w:t>
            </w:r>
          </w:p>
        </w:tc>
        <w:tc>
          <w:tcPr>
            <w:tcW w:w="1982"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对外承包工程企业应当在实质性开展业务前，在商务主管部门指定的银行缴存对外承包工程企业备用金。备用金可以用现金或银行保函形式缴存。</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对外承包工程企业停止开展对外承包工程的，应当对其派出的尚在国外工作的劳务人员作出妥善安排，并将安排方案连同两年内有效的备用金缴存凭证或者保函报商务主管部门备案。对外承包工程企业自备案之日起两年内未发生针对其的劳务纠纷投诉或者诉讼的，可退还缴存的备用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8</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海关风险类保证金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海关总署</w:t>
            </w:r>
            <w:r>
              <w:rPr>
                <w:rFonts w:hint="eastAsia" w:ascii="宋体" w:hAnsi="宋体" w:eastAsia="宋体" w:cs="宋体"/>
                <w:sz w:val="15"/>
                <w:szCs w:val="15"/>
                <w:lang w:eastAsia="en-US"/>
              </w:rPr>
              <w:t>•</w:t>
            </w:r>
          </w:p>
        </w:tc>
        <w:tc>
          <w:tcPr>
            <w:tcW w:w="2643"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中华人民共和国海关法》《中华人民共和国海关事务担保条例》《中华人民共和国海关征收进口货物滞报金办法》（海关总署令第128号）《中华人民共和国海关加工贸易单耗管理办法》（海关总署令第155号）《中华人民共和国海关进出口货物集中申报管理办法》（海关总署令第169号）《中华人民共和国海关加工贸易货物监管办法》（海关总署令第219号）</w:t>
            </w:r>
          </w:p>
        </w:tc>
        <w:tc>
          <w:tcPr>
            <w:tcW w:w="193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风险类保证金是风险担保的一种，包括滞报金保证金和保税货物保证金等类型。当事人提供的担保应当与其需要履行的法律义务相当，除《中华人民共和国海关事务担保条例》第七条第二款规定的情形外，担保金额按照下列标准确定：1.为提前放行货物提供的担保，担保金额不得超过可能承担的最高税款总额;2为办理特定海关业务提供的担保，担保金额不得超过可能承担的最高税款总额或者海关总署规定的金额；</w:t>
            </w:r>
            <w:r>
              <w:rPr>
                <w:rFonts w:hint="eastAsia" w:ascii="宋体" w:hAnsi="宋体" w:eastAsia="宋体" w:cs="宋体"/>
                <w:sz w:val="15"/>
                <w:szCs w:val="15"/>
                <w:lang w:eastAsia="en-US"/>
              </w:rPr>
              <w:t>3.</w:t>
            </w:r>
            <w:r>
              <w:rPr>
                <w:rFonts w:hint="eastAsia" w:ascii="宋体" w:hAnsi="宋体" w:eastAsia="宋体" w:cs="宋体"/>
                <w:sz w:val="15"/>
                <w:szCs w:val="15"/>
              </w:rPr>
              <w:t>因有明显的转移、藏匿应税货物以及其他财产迹象被责令提供的担保，担保金额不得超过可能承担的最高税款总额；4.为有关货物、物品、运输工具免予或者解除扣留、封存提供的担保，担保金额不得超过该货物、物品、运输工具的等值价款；5.为罚款、违法所得或者依法应当追缴的货物、物品、走私运输工具的等值价款未缴清前出境提供的担保，担保金额应当相当于罚款、违法所得数额或者依法应当追缴的货物、物品、走私运输工具的等值价款。</w:t>
            </w:r>
          </w:p>
        </w:tc>
        <w:tc>
          <w:tcPr>
            <w:tcW w:w="1982"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办理担保，当事人应当提交书面申请以及真实、合法、有效的财产、权利凭证和身份或者资格证明等材料。海关应当自收到当事人提交的材料之日起5个工作日内对相关财产、权利等进行审核，并决定是否接受担保'当事人申请办理总担保的，海关应当在10个工作日内审核并决定是否接受担保。</w:t>
            </w:r>
          </w:p>
        </w:tc>
        <w:tc>
          <w:tcPr>
            <w:tcW w:w="192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有下列情形之一的，海关应当书面通知当事人办理担保财产、权利退还手续：</w:t>
            </w:r>
            <w:r>
              <w:rPr>
                <w:rFonts w:hint="eastAsia" w:ascii="宋体" w:hAnsi="宋体" w:eastAsia="宋体" w:cs="宋体"/>
                <w:sz w:val="15"/>
                <w:szCs w:val="15"/>
                <w:lang w:eastAsia="en-US"/>
              </w:rPr>
              <w:t>1.</w:t>
            </w:r>
            <w:r>
              <w:rPr>
                <w:rFonts w:hint="eastAsia" w:ascii="宋体" w:hAnsi="宋体" w:eastAsia="宋体" w:cs="宋体"/>
                <w:sz w:val="15"/>
                <w:szCs w:val="15"/>
              </w:rPr>
              <w:t>当事人已经履行有关法律义务的；2.当事人不再从事特定诲关业务的；3.担保财产、权利被海关采取抵缴措施后仍有剩余的；4.其他需要退还的情形。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9</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海关税款美保证金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海关总署</w:t>
            </w:r>
          </w:p>
        </w:tc>
        <w:tc>
          <w:tcPr>
            <w:tcW w:w="2643"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中华人民共和国海关法》《中华人民共和国进出口关税条例》《中华人民共和国海关事务担保条例》《中华人民共和国船舶吨税暂行条例》《中华人民共和国反倾销条例》《中华人民共和国反补贴条例》《中华人民共和国海关进出口货物征税管理办法》（海关总署令第124号）《中华人民共和国海关进出口货物减免税管理办法》（海关总署令第179号）</w:t>
            </w:r>
          </w:p>
        </w:tc>
        <w:tc>
          <w:tcPr>
            <w:tcW w:w="193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rPr>
              <w:t>税款类保证金是海关税款担保的一种，包括征管、审价、反倾销反补贴、归类、原产地、减免税货物税款担保等类型，担保金额按照下列标准确定：</w:t>
            </w:r>
          </w:p>
          <w:p>
            <w:pPr>
              <w:snapToGrid w:val="0"/>
              <w:rPr>
                <w:rFonts w:ascii="宋体" w:hAnsi="宋体" w:eastAsia="宋体" w:cs="宋体"/>
                <w:sz w:val="15"/>
                <w:szCs w:val="15"/>
                <w:lang w:val="zh-TW" w:eastAsia="zh-TW"/>
              </w:rPr>
            </w:pPr>
            <w:r>
              <w:rPr>
                <w:rFonts w:hint="eastAsia" w:ascii="宋体" w:hAnsi="宋体" w:eastAsia="宋体" w:cs="宋体"/>
                <w:sz w:val="15"/>
                <w:szCs w:val="15"/>
                <w:lang w:eastAsia="en-US"/>
              </w:rPr>
              <w:t>L</w:t>
            </w:r>
            <w:r>
              <w:rPr>
                <w:rFonts w:hint="eastAsia" w:ascii="宋体" w:hAnsi="宋体" w:eastAsia="宋体" w:cs="宋体"/>
                <w:sz w:val="15"/>
                <w:szCs w:val="15"/>
              </w:rPr>
              <w:t>为提前放行货物提供的担保，担保金额不得超过可能承担的最高税款总额；</w:t>
            </w:r>
            <w:r>
              <w:rPr>
                <w:rFonts w:hint="eastAsia" w:ascii="宋体" w:hAnsi="宋体" w:eastAsia="宋体" w:cs="宋体"/>
                <w:sz w:val="15"/>
                <w:szCs w:val="15"/>
                <w:lang w:eastAsia="en-US"/>
              </w:rPr>
              <w:t>2.</w:t>
            </w:r>
            <w:r>
              <w:rPr>
                <w:rFonts w:hint="eastAsia" w:ascii="宋体" w:hAnsi="宋体" w:eastAsia="宋体" w:cs="宋体"/>
                <w:sz w:val="15"/>
                <w:szCs w:val="15"/>
              </w:rPr>
              <w:t>为办理特定海关业务提供的担保，担保金额不得超过可能承担的最高税款总额或者海关总署规定的金额；3.反倾销担保金额应当不超过商务部初裁决定确定的倾销幅度。反补贴担保金额由国务院关税税则委员会决定。</w:t>
            </w:r>
          </w:p>
        </w:tc>
        <w:tc>
          <w:tcPr>
            <w:tcW w:w="1982"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办理担保，当事人应当提交书面申请以及真实、合法、有效的财产、权利凭证和身份或者资格证明等材料</w:t>
            </w:r>
            <w:r>
              <w:rPr>
                <w:rFonts w:hint="eastAsia" w:ascii="宋体" w:hAnsi="宋体" w:eastAsia="宋体" w:cs="宋体"/>
                <w:sz w:val="15"/>
                <w:szCs w:val="15"/>
                <w:lang w:val="zh-CN"/>
              </w:rPr>
              <w:t>•海</w:t>
            </w:r>
            <w:r>
              <w:rPr>
                <w:rFonts w:hint="eastAsia" w:ascii="宋体" w:hAnsi="宋体" w:eastAsia="宋体" w:cs="宋体"/>
                <w:sz w:val="15"/>
                <w:szCs w:val="15"/>
              </w:rPr>
              <w:t>关应当自收到当事人提交的材料之日起5个工作日内对相关财产、权利等进行审核，并决定是否接受担保.当事人申请办理总担保的，海关应当在10个工作日内审核并决定是否接受担保。</w:t>
            </w:r>
          </w:p>
        </w:tc>
        <w:tc>
          <w:tcPr>
            <w:tcW w:w="192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有下列情形之一的，海关应当书面通知当事人办理担保财产、权利退还手续：</w:t>
            </w:r>
            <w:r>
              <w:rPr>
                <w:rFonts w:hint="eastAsia" w:ascii="宋体" w:hAnsi="宋体" w:eastAsia="宋体" w:cs="宋体"/>
                <w:sz w:val="15"/>
                <w:szCs w:val="15"/>
                <w:lang w:eastAsia="en-US"/>
              </w:rPr>
              <w:t>1.</w:t>
            </w:r>
            <w:r>
              <w:rPr>
                <w:rFonts w:hint="eastAsia" w:ascii="宋体" w:hAnsi="宋体" w:eastAsia="宋体" w:cs="宋体"/>
                <w:sz w:val="15"/>
                <w:szCs w:val="15"/>
              </w:rPr>
              <w:t>当事人已经履行有关法律义务的；2.当事人不再从事特定海关业务的；3.担保财产、权利被海关采取抵缴措施后仍有剩余的；4.其他需要退还的情形.在海关批准的担保期限内，纳税义务人未履行纳税义务，对收取税款保证金的，海关应当自担保期限届满之日起5个工作日内完成保证金转为税款的相关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10</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海关案件类保证金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海关总署</w:t>
            </w:r>
          </w:p>
        </w:tc>
        <w:tc>
          <w:tcPr>
            <w:tcW w:w="2643"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《中华人民共和国海关事务担保条例》《中华人民共和国知识产权海关保护条例》《中华人民共和国海关行政处罚实施条例》《中华人民共和国海关关于〈中华人民共和国知识产权海关保护</w:t>
            </w:r>
            <w:r>
              <w:rPr>
                <w:rFonts w:hint="eastAsia" w:ascii="宋体" w:hAnsi="宋体" w:eastAsia="宋体" w:cs="宋体"/>
                <w:sz w:val="15"/>
                <w:szCs w:val="15"/>
                <w:lang w:val="zh-CN"/>
              </w:rPr>
              <w:t>条例〉</w:t>
            </w:r>
            <w:r>
              <w:rPr>
                <w:rFonts w:hint="eastAsia" w:ascii="宋体" w:hAnsi="宋体" w:eastAsia="宋体" w:cs="宋体"/>
                <w:sz w:val="15"/>
                <w:szCs w:val="15"/>
              </w:rPr>
              <w:t>的实施办法》（海关总署令第183号）</w:t>
            </w:r>
          </w:p>
        </w:tc>
        <w:tc>
          <w:tcPr>
            <w:tcW w:w="1934" w:type="dxa"/>
            <w:tcBorders>
              <w:tl2br w:val="nil"/>
              <w:tr2bl w:val="nil"/>
            </w:tcBorders>
            <w:shd w:val="clear" w:color="auto" w:fill="FFFFFF"/>
            <w:vAlign w:val="center"/>
          </w:tcPr>
          <w:p>
            <w:pPr>
              <w:snapToGrid w:val="0"/>
              <w:rPr>
                <w:rFonts w:ascii="宋体" w:hAnsi="宋体" w:eastAsia="宋体" w:cs="宋体"/>
                <w:sz w:val="15"/>
                <w:szCs w:val="15"/>
                <w:lang w:eastAsia="en-US"/>
              </w:rPr>
            </w:pPr>
            <w:r>
              <w:rPr>
                <w:rFonts w:hint="eastAsia" w:ascii="宋体" w:hAnsi="宋体" w:eastAsia="宋体" w:cs="宋体"/>
                <w:sz w:val="15"/>
                <w:szCs w:val="15"/>
              </w:rPr>
              <w:t>案件类保证金包括知识产权海关保护保证金、知识产权反担保担保金和其他案件类保证金，征收标准为：1.按照依申请保护的知识产权海关保护保证金和知识产权反担保担保金收取标准为与被扣货物等值。</w:t>
            </w:r>
            <w:r>
              <w:rPr>
                <w:rFonts w:hint="eastAsia" w:ascii="宋体" w:hAnsi="宋体" w:eastAsia="宋体" w:cs="宋体"/>
                <w:sz w:val="15"/>
                <w:szCs w:val="15"/>
                <w:lang w:eastAsia="en-US"/>
              </w:rPr>
              <w:t>2.</w:t>
            </w:r>
            <w:r>
              <w:rPr>
                <w:rFonts w:hint="eastAsia" w:ascii="宋体" w:hAnsi="宋体" w:eastAsia="宋体" w:cs="宋体"/>
                <w:sz w:val="15"/>
                <w:szCs w:val="15"/>
              </w:rPr>
              <w:t>按照主动依职权保护的知识产权海关保护保证金收取标准为：货物价值不足人民币2万元的，提供相当于货物价值的担保；货物价值为人民币2万元至20万元的，提供相当于货物价值50%的担保，但担保金额不得少于人民币2万元；货物价值超过人民币20万元的，提供人民币10万元的担保。3.其他案件类需提供不低于《海关行政处罚幅度参照标准》（署缉发〔2016〕6号）规定的一般情节处罚幅度计核金额的足额保证金。</w:t>
            </w:r>
            <w:r>
              <w:rPr>
                <w:rFonts w:hint="eastAsia" w:ascii="宋体" w:hAnsi="宋体" w:eastAsia="宋体" w:cs="宋体"/>
                <w:sz w:val="15"/>
                <w:szCs w:val="15"/>
                <w:lang w:eastAsia="en-US"/>
              </w:rPr>
              <w:t>4.</w:t>
            </w:r>
            <w:r>
              <w:rPr>
                <w:rFonts w:hint="eastAsia" w:ascii="宋体" w:hAnsi="宋体" w:eastAsia="宋体" w:cs="宋体"/>
                <w:sz w:val="15"/>
                <w:szCs w:val="15"/>
              </w:rPr>
              <w:t>经海关总署核准总担保的，对于商标权保护的货物无需另行提交担保。</w:t>
            </w:r>
          </w:p>
        </w:tc>
        <w:tc>
          <w:tcPr>
            <w:tcW w:w="1982"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海关告知当事人提交保证金的金额。当事人交纳保证金后，由海关出具保证金收据。</w:t>
            </w:r>
          </w:p>
        </w:tc>
        <w:tc>
          <w:tcPr>
            <w:tcW w:w="1924" w:type="dxa"/>
            <w:tcBorders>
              <w:tl2br w:val="nil"/>
              <w:tr2bl w:val="nil"/>
            </w:tcBorders>
            <w:shd w:val="clear" w:color="auto" w:fill="FFFFFF"/>
            <w:vAlign w:val="center"/>
          </w:tcPr>
          <w:p>
            <w:pPr>
              <w:snapToGrid w:val="0"/>
              <w:rPr>
                <w:rFonts w:ascii="宋体" w:hAnsi="宋体" w:eastAsia="宋体" w:cs="宋体"/>
                <w:sz w:val="15"/>
                <w:szCs w:val="15"/>
              </w:rPr>
            </w:pPr>
            <w:r>
              <w:rPr>
                <w:rFonts w:hint="eastAsia" w:ascii="宋体" w:hAnsi="宋体" w:eastAsia="宋体" w:cs="宋体"/>
                <w:sz w:val="15"/>
                <w:szCs w:val="15"/>
                <w:lang w:eastAsia="en-US"/>
              </w:rPr>
              <w:t>L</w:t>
            </w:r>
            <w:r>
              <w:rPr>
                <w:rFonts w:hint="eastAsia" w:ascii="宋体" w:hAnsi="宋体" w:eastAsia="宋体" w:cs="宋体"/>
                <w:sz w:val="15"/>
                <w:szCs w:val="15"/>
              </w:rPr>
              <w:t>知识产权海关保护保证金自权利人结清货物处置费用后由海关返还，或根据法院要求</w:t>
            </w:r>
            <w:r>
              <w:rPr>
                <w:rFonts w:hint="eastAsia" w:ascii="宋体" w:hAnsi="宋体" w:eastAsia="宋体" w:cs="宋体"/>
                <w:sz w:val="15"/>
                <w:szCs w:val="15"/>
                <w:lang w:val="zh-CN"/>
              </w:rPr>
              <w:t>执行”</w:t>
            </w:r>
            <w:r>
              <w:rPr>
                <w:rFonts w:hint="eastAsia" w:ascii="宋体" w:hAnsi="宋体" w:eastAsia="宋体" w:cs="宋体"/>
                <w:sz w:val="15"/>
                <w:szCs w:val="15"/>
              </w:rPr>
              <w:t>2.知识产权反担保担保金自海关放行被扣留货物之日起30个工作日返还，或根据法院要求执行</w:t>
            </w:r>
            <w:r>
              <w:rPr>
                <w:rFonts w:hint="eastAsia" w:ascii="宋体" w:hAnsi="宋体" w:eastAsia="宋体" w:cs="宋体"/>
                <w:sz w:val="15"/>
                <w:szCs w:val="15"/>
                <w:lang w:eastAsia="en-US"/>
              </w:rPr>
              <w:t>.</w:t>
            </w:r>
          </w:p>
          <w:p>
            <w:pPr>
              <w:snapToGrid w:val="0"/>
              <w:rPr>
                <w:rFonts w:ascii="宋体" w:hAnsi="宋体" w:eastAsia="宋体" w:cs="宋体"/>
                <w:sz w:val="15"/>
                <w:szCs w:val="15"/>
                <w:lang w:val="zh-TW"/>
              </w:rPr>
            </w:pPr>
            <w:r>
              <w:rPr>
                <w:rFonts w:hint="eastAsia" w:ascii="宋体" w:hAnsi="宋体" w:eastAsia="宋体" w:cs="宋体"/>
                <w:sz w:val="15"/>
                <w:szCs w:val="15"/>
              </w:rPr>
              <w:t>3.其他案件类保证金在当事人履行完有关法律义务后返还”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11</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海关取保候审保证金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海关总署</w:t>
            </w:r>
          </w:p>
        </w:tc>
        <w:tc>
          <w:tcPr>
            <w:tcW w:w="2643"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《中华人民共和国刑事诉讼法》《公安机关办理刑事案件程序规定》（公安部令第127号）</w:t>
            </w:r>
          </w:p>
        </w:tc>
        <w:tc>
          <w:tcPr>
            <w:tcW w:w="193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保证金的起点数额为人民币1000元。具体数额应当综合考虑保证诉讼活动正常进行的需要、犯罪嫌疑人的社会危险性、案件的性质、情节、可能判处刑罚的轻重以及犯罪嫌疑人的经济状况等情况确定。</w:t>
            </w:r>
          </w:p>
        </w:tc>
        <w:tc>
          <w:tcPr>
            <w:tcW w:w="1982"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对犯罪嫌疑人</w:t>
            </w:r>
            <w:bookmarkStart w:id="3" w:name="_GoBack"/>
            <w:bookmarkEnd w:id="3"/>
            <w:r>
              <w:rPr>
                <w:rFonts w:hint="eastAsia" w:ascii="宋体" w:hAnsi="宋体" w:eastAsia="宋体" w:cs="宋体"/>
                <w:sz w:val="15"/>
                <w:szCs w:val="15"/>
                <w:lang w:eastAsia="zh-CN"/>
              </w:rPr>
              <w:t>采取</w:t>
            </w:r>
            <w:r>
              <w:rPr>
                <w:rFonts w:hint="eastAsia" w:ascii="宋体" w:hAnsi="宋体" w:eastAsia="宋体" w:cs="宋体"/>
                <w:sz w:val="15"/>
                <w:szCs w:val="15"/>
              </w:rPr>
              <w:t>保证金方式取保候审的，缉私办案部门应当在《呈请取保候审报告书》中写明责令被取保候审人交纳保证金的数额，报海关缉私部门负责人批准后，缉私办案部门制作《收取保证金通知书》，送达被取保候审人和为其提供保证金的单位或者个人,责令其向海关缉私部门指定的银行一次性交纳保证金。被取保候审人或者其法定代理人、近亲属、有关单位凭《收取保证金通知书》向海关缉私部门指定的银行交纳保证金。银行在收取保证金后，填写《收取保证金通知书》回执联并加盖银行印章退还海关缉私部门，回执联存入诉讼卷。</w:t>
            </w:r>
          </w:p>
        </w:tc>
        <w:tc>
          <w:tcPr>
            <w:tcW w:w="192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被取保候审人在取保候审期间未违反取保候审有关规</w:t>
            </w:r>
            <w:r>
              <w:rPr>
                <w:rFonts w:hint="eastAsia" w:ascii="宋体" w:hAnsi="宋体" w:eastAsia="宋体" w:cs="宋体"/>
                <w:sz w:val="15"/>
                <w:szCs w:val="15"/>
                <w:lang w:val="zh-CN"/>
              </w:rPr>
              <w:t>定,</w:t>
            </w:r>
            <w:r>
              <w:rPr>
                <w:rFonts w:hint="eastAsia" w:ascii="宋体" w:hAnsi="宋体" w:eastAsia="宋体" w:cs="宋体"/>
                <w:sz w:val="15"/>
                <w:szCs w:val="15"/>
              </w:rPr>
              <w:t>也没有重新故意犯罪的，或者缉私部门决定撤销案件、终止侦查的，在解除取保候审、变更强制措施的同时，缉私部门应当制作《退还保证金决定书》，通知财务部门如数退还保证金给犯罪嫌疑人。被取保候审人在取保候审期间未违反取保候审有关规定，但在取保候审期间涉嫌重新故意犯罪被立案侦查的，负责执行的海关缉私部门应当暂扣其交纳的保证金，人民检察院、人民法院作出不起诉决定、无罪判决的，应当退还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483"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12</w:t>
            </w:r>
          </w:p>
        </w:tc>
        <w:tc>
          <w:tcPr>
            <w:tcW w:w="670"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旅游服务质量保证金</w:t>
            </w:r>
          </w:p>
        </w:tc>
        <w:tc>
          <w:tcPr>
            <w:tcW w:w="577" w:type="dxa"/>
            <w:tcBorders>
              <w:tl2br w:val="nil"/>
              <w:tr2bl w:val="nil"/>
            </w:tcBorders>
            <w:shd w:val="clear" w:color="auto" w:fill="FFFFFF"/>
            <w:vAlign w:val="center"/>
          </w:tcPr>
          <w:p>
            <w:pPr>
              <w:snapToGrid w:val="0"/>
              <w:jc w:val="center"/>
              <w:rPr>
                <w:rFonts w:ascii="宋体" w:hAnsi="宋体" w:eastAsia="宋体" w:cs="宋体"/>
                <w:sz w:val="15"/>
                <w:szCs w:val="15"/>
                <w:lang w:val="zh-TW" w:eastAsia="zh-TW"/>
              </w:rPr>
            </w:pPr>
            <w:r>
              <w:rPr>
                <w:rFonts w:hint="eastAsia" w:ascii="宋体" w:hAnsi="宋体" w:eastAsia="宋体" w:cs="宋体"/>
                <w:sz w:val="15"/>
                <w:szCs w:val="15"/>
              </w:rPr>
              <w:t>文化和旅游部</w:t>
            </w:r>
          </w:p>
        </w:tc>
        <w:tc>
          <w:tcPr>
            <w:tcW w:w="2643"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《中华人民共和国旅游法》《旅行社条例》</w:t>
            </w:r>
          </w:p>
        </w:tc>
        <w:tc>
          <w:tcPr>
            <w:tcW w:w="193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经营国内旅游业务和入境旅游业务的旅行社，应当存入旅游服务质量保证金人民币20万元；经营出境旅游业务的旅行社，应当增存旅游服务质量保证金人民币120万元。旅行社每设立一个经营国内旅游业务和入境旅游业务的分社，应当向其保证金账户增存人民币5万元；每设立一个经营出镜旅游业务的分社，应当向其保证金账户增存人民币30万元。</w:t>
            </w:r>
          </w:p>
        </w:tc>
        <w:tc>
          <w:tcPr>
            <w:tcW w:w="1982"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旅行社应当自取得旅行社业务经营许可证之日起3个工作日内，在国务院旅游行政主管部门指定的银行开设专门的旅游服务质量保证金账户，存入旅游服务质量保证金，或者向做出许可的旅游行政管理部门提交依法取得的担保额度不低于相应保证金数额的银行担保。</w:t>
            </w:r>
          </w:p>
        </w:tc>
        <w:tc>
          <w:tcPr>
            <w:tcW w:w="1924" w:type="dxa"/>
            <w:tcBorders>
              <w:tl2br w:val="nil"/>
              <w:tr2bl w:val="nil"/>
            </w:tcBorders>
            <w:shd w:val="clear" w:color="auto" w:fill="FFFFFF"/>
            <w:vAlign w:val="center"/>
          </w:tcPr>
          <w:p>
            <w:pPr>
              <w:snapToGrid w:val="0"/>
              <w:rPr>
                <w:rFonts w:ascii="宋体" w:hAnsi="宋体" w:eastAsia="宋体" w:cs="宋体"/>
                <w:sz w:val="15"/>
                <w:szCs w:val="15"/>
                <w:lang w:val="zh-TW" w:eastAsia="zh-TW"/>
              </w:rPr>
            </w:pPr>
            <w:r>
              <w:rPr>
                <w:rFonts w:hint="eastAsia" w:ascii="宋体" w:hAnsi="宋体" w:eastAsia="宋体" w:cs="宋体"/>
                <w:sz w:val="15"/>
                <w:szCs w:val="15"/>
              </w:rPr>
              <w:t>旅行社自交纳或者补足旅游服务质量保证金之日起三年内未因侵害旅游者合法权益受到行政机关罚款以上处罚的，旅游行政管理部门应当将保证金的交存数额降低50%,并向社会公告。旅行社可凭省、自治区、直辖市旅游行政管理部门出具的凭证减少其保证金。旅行社不再从事旅游业务的，凭旅游行政管理部门出具的凭证，向银行取回保证金。</w:t>
            </w:r>
          </w:p>
        </w:tc>
      </w:tr>
    </w:tbl>
    <w:p/>
    <w:sectPr>
      <w:footerReference r:id="rId4" w:type="default"/>
      <w:pgSz w:w="11905" w:h="8390" w:orient="landscape"/>
      <w:pgMar w:top="1032" w:right="1440" w:bottom="1049" w:left="1440" w:header="850" w:footer="992" w:gutter="0"/>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方正黑体_GBK">
    <w:altName w:val="汉仪中黑KW"/>
    <w:panose1 w:val="00000000000000000000"/>
    <w:charset w:val="86"/>
    <w:family w:val="script"/>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儷宋 Pro">
    <w:panose1 w:val="02020300000000000000"/>
    <w:charset w:val="88"/>
    <w:family w:val="auto"/>
    <w:pitch w:val="default"/>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firstLine="4143"/>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HorizontalSpacing w:val="210"/>
  <w:drawingGridVerticalSpacing w:val="-794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xNjVhNGI1NzUyMmM1OTkyZjBkY2Y3ZmQ4NzkxY2IifQ=="/>
  </w:docVars>
  <w:rsids>
    <w:rsidRoot w:val="3F8863BE"/>
    <w:rsid w:val="001D3ED1"/>
    <w:rsid w:val="001D6AC2"/>
    <w:rsid w:val="00262847"/>
    <w:rsid w:val="002B5A99"/>
    <w:rsid w:val="00324924"/>
    <w:rsid w:val="00435864"/>
    <w:rsid w:val="00541D7E"/>
    <w:rsid w:val="00A166CD"/>
    <w:rsid w:val="00E55801"/>
    <w:rsid w:val="00EF747C"/>
    <w:rsid w:val="028338EB"/>
    <w:rsid w:val="03AA7B5F"/>
    <w:rsid w:val="03C35EBE"/>
    <w:rsid w:val="042A4504"/>
    <w:rsid w:val="05326AC7"/>
    <w:rsid w:val="05FB60D0"/>
    <w:rsid w:val="060078E9"/>
    <w:rsid w:val="06C70A6F"/>
    <w:rsid w:val="075B2F69"/>
    <w:rsid w:val="09A51DE3"/>
    <w:rsid w:val="09C16C64"/>
    <w:rsid w:val="0B6F4D1A"/>
    <w:rsid w:val="0C7B4F87"/>
    <w:rsid w:val="0E245572"/>
    <w:rsid w:val="10CB163F"/>
    <w:rsid w:val="10CF6E57"/>
    <w:rsid w:val="13EF3899"/>
    <w:rsid w:val="14E07884"/>
    <w:rsid w:val="17772E24"/>
    <w:rsid w:val="179A40DB"/>
    <w:rsid w:val="196F2519"/>
    <w:rsid w:val="1C031C41"/>
    <w:rsid w:val="1C316826"/>
    <w:rsid w:val="1D640134"/>
    <w:rsid w:val="1E141B3C"/>
    <w:rsid w:val="1F62297A"/>
    <w:rsid w:val="2352373A"/>
    <w:rsid w:val="2399785D"/>
    <w:rsid w:val="26A86109"/>
    <w:rsid w:val="26FE634B"/>
    <w:rsid w:val="296B1032"/>
    <w:rsid w:val="2ACB3B4E"/>
    <w:rsid w:val="2AD71E2D"/>
    <w:rsid w:val="2BBF0A23"/>
    <w:rsid w:val="2CA50ADA"/>
    <w:rsid w:val="2E8B21B7"/>
    <w:rsid w:val="2ED8272E"/>
    <w:rsid w:val="2EDC514A"/>
    <w:rsid w:val="31AA6710"/>
    <w:rsid w:val="323B34DA"/>
    <w:rsid w:val="3394446B"/>
    <w:rsid w:val="363E7C37"/>
    <w:rsid w:val="36C51E50"/>
    <w:rsid w:val="377F717D"/>
    <w:rsid w:val="37804506"/>
    <w:rsid w:val="39BB0EDF"/>
    <w:rsid w:val="39FE7BFE"/>
    <w:rsid w:val="3AA54601"/>
    <w:rsid w:val="3B257F95"/>
    <w:rsid w:val="3B4E14F1"/>
    <w:rsid w:val="3BE308CC"/>
    <w:rsid w:val="3DE65CBC"/>
    <w:rsid w:val="3F8863BE"/>
    <w:rsid w:val="40070A53"/>
    <w:rsid w:val="40D95133"/>
    <w:rsid w:val="43865412"/>
    <w:rsid w:val="43B00251"/>
    <w:rsid w:val="440305EA"/>
    <w:rsid w:val="45280308"/>
    <w:rsid w:val="45C328BB"/>
    <w:rsid w:val="46510B63"/>
    <w:rsid w:val="47373DB0"/>
    <w:rsid w:val="48CB4445"/>
    <w:rsid w:val="4A957506"/>
    <w:rsid w:val="4B796E86"/>
    <w:rsid w:val="4BFF06FD"/>
    <w:rsid w:val="4BFF14EE"/>
    <w:rsid w:val="4C1828B8"/>
    <w:rsid w:val="4CDC4687"/>
    <w:rsid w:val="4E8812BF"/>
    <w:rsid w:val="4EEB6FC7"/>
    <w:rsid w:val="4F9A62A6"/>
    <w:rsid w:val="53CC2C99"/>
    <w:rsid w:val="53DE5E64"/>
    <w:rsid w:val="56687FD5"/>
    <w:rsid w:val="59271254"/>
    <w:rsid w:val="5A7D4F9A"/>
    <w:rsid w:val="5AAB5993"/>
    <w:rsid w:val="5ADB46FF"/>
    <w:rsid w:val="5B174DA2"/>
    <w:rsid w:val="5BC86443"/>
    <w:rsid w:val="5CDB7E67"/>
    <w:rsid w:val="5D675489"/>
    <w:rsid w:val="5EDF3D92"/>
    <w:rsid w:val="5FE652C4"/>
    <w:rsid w:val="60A831C9"/>
    <w:rsid w:val="61F5604B"/>
    <w:rsid w:val="62046F2C"/>
    <w:rsid w:val="625C73EB"/>
    <w:rsid w:val="62D82CBA"/>
    <w:rsid w:val="63835E59"/>
    <w:rsid w:val="66015232"/>
    <w:rsid w:val="66EC2A59"/>
    <w:rsid w:val="69D47488"/>
    <w:rsid w:val="6B624FE7"/>
    <w:rsid w:val="6B91205F"/>
    <w:rsid w:val="6BDF1F1D"/>
    <w:rsid w:val="6D986680"/>
    <w:rsid w:val="6E6F64CF"/>
    <w:rsid w:val="6EFB6ECF"/>
    <w:rsid w:val="70D06C56"/>
    <w:rsid w:val="71345B5F"/>
    <w:rsid w:val="72CE7313"/>
    <w:rsid w:val="72F33DAC"/>
    <w:rsid w:val="734958C8"/>
    <w:rsid w:val="74416DD0"/>
    <w:rsid w:val="760C0DE5"/>
    <w:rsid w:val="7623263D"/>
    <w:rsid w:val="7624616C"/>
    <w:rsid w:val="766F028A"/>
    <w:rsid w:val="7DF96D7D"/>
    <w:rsid w:val="7EF60004"/>
    <w:rsid w:val="7F0766EC"/>
    <w:rsid w:val="7FF94C11"/>
    <w:rsid w:val="EEFFD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kern w:val="44"/>
      <w:sz w:val="48"/>
      <w:szCs w:val="48"/>
    </w:rPr>
  </w:style>
  <w:style w:type="paragraph" w:styleId="3">
    <w:name w:val="heading 2"/>
    <w:basedOn w:val="1"/>
    <w:next w:val="1"/>
    <w:unhideWhenUsed/>
    <w:qFormat/>
    <w:uiPriority w:val="9"/>
    <w:pPr>
      <w:spacing w:before="100" w:beforeAutospacing="1" w:after="100" w:afterAutospacing="1"/>
      <w:jc w:val="left"/>
      <w:outlineLvl w:val="1"/>
    </w:pPr>
    <w:rPr>
      <w:rFonts w:hint="eastAsia" w:ascii="宋体" w:hAnsi="宋体" w:eastAsia="宋体" w:cs="宋体"/>
      <w:b/>
      <w:kern w:val="0"/>
      <w:sz w:val="36"/>
      <w:szCs w:val="36"/>
    </w:rPr>
  </w:style>
  <w:style w:type="paragraph" w:styleId="4">
    <w:name w:val="heading 4"/>
    <w:basedOn w:val="1"/>
    <w:next w:val="1"/>
    <w:unhideWhenUsed/>
    <w:qFormat/>
    <w:uiPriority w:val="9"/>
    <w:pPr>
      <w:spacing w:before="100" w:beforeAutospacing="1" w:after="100" w:afterAutospacing="1"/>
      <w:jc w:val="left"/>
      <w:outlineLvl w:val="3"/>
    </w:pPr>
    <w:rPr>
      <w:rFonts w:hint="eastAsia" w:ascii="宋体" w:hAnsi="宋体" w:eastAsia="宋体" w:cs="Times New Roman"/>
      <w:b/>
      <w:bCs/>
      <w:kern w:val="0"/>
      <w:sz w:val="2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Normal (Web)"/>
    <w:basedOn w:val="1"/>
    <w:unhideWhenUsed/>
    <w:qFormat/>
    <w:uiPriority w:val="99"/>
    <w:pPr>
      <w:spacing w:before="100" w:beforeAutospacing="1" w:after="100" w:afterAutospacing="1"/>
      <w:jc w:val="left"/>
    </w:pPr>
    <w:rPr>
      <w:kern w:val="0"/>
      <w:sz w:val="24"/>
    </w:rPr>
  </w:style>
  <w:style w:type="character" w:styleId="11">
    <w:name w:val="Strong"/>
    <w:basedOn w:val="10"/>
    <w:qFormat/>
    <w:uiPriority w:val="22"/>
    <w:rPr>
      <w:b/>
    </w:rPr>
  </w:style>
  <w:style w:type="character" w:styleId="12">
    <w:name w:val="Hyperlink"/>
    <w:basedOn w:val="10"/>
    <w:qFormat/>
    <w:uiPriority w:val="0"/>
    <w:rPr>
      <w:color w:val="0000FF"/>
      <w:u w:val="single"/>
    </w:rPr>
  </w:style>
  <w:style w:type="character" w:customStyle="1" w:styleId="13">
    <w:name w:val="font61"/>
    <w:basedOn w:val="10"/>
    <w:qFormat/>
    <w:uiPriority w:val="0"/>
    <w:rPr>
      <w:rFonts w:hint="eastAsia" w:ascii="宋体" w:hAnsi="宋体" w:eastAsia="宋体" w:cs="宋体"/>
      <w:color w:val="000000"/>
      <w:sz w:val="18"/>
      <w:szCs w:val="18"/>
      <w:u w:val="none"/>
    </w:rPr>
  </w:style>
  <w:style w:type="character" w:customStyle="1" w:styleId="14">
    <w:name w:val="font81"/>
    <w:basedOn w:val="10"/>
    <w:qFormat/>
    <w:uiPriority w:val="0"/>
    <w:rPr>
      <w:rFonts w:hint="default" w:ascii="Times New Roman" w:hAnsi="Times New Roman" w:cs="Times New Roman"/>
      <w:color w:val="000000"/>
      <w:sz w:val="18"/>
      <w:szCs w:val="18"/>
      <w:u w:val="none"/>
    </w:rPr>
  </w:style>
  <w:style w:type="paragraph" w:customStyle="1" w:styleId="15">
    <w:name w:val="Body text|1"/>
    <w:basedOn w:val="1"/>
    <w:qFormat/>
    <w:uiPriority w:val="0"/>
    <w:pPr>
      <w:spacing w:after="60"/>
    </w:pPr>
    <w:rPr>
      <w:rFonts w:ascii="宋体" w:hAnsi="宋体" w:eastAsia="宋体" w:cs="宋体"/>
      <w:sz w:val="20"/>
      <w:szCs w:val="20"/>
      <w:lang w:val="zh-TW" w:eastAsia="zh-TW" w:bidi="zh-TW"/>
    </w:rPr>
  </w:style>
  <w:style w:type="paragraph" w:customStyle="1" w:styleId="16">
    <w:name w:val="Table of contents|1"/>
    <w:basedOn w:val="1"/>
    <w:qFormat/>
    <w:uiPriority w:val="0"/>
    <w:pPr>
      <w:spacing w:after="60"/>
    </w:pPr>
    <w:rPr>
      <w:rFonts w:ascii="宋体" w:hAnsi="宋体" w:eastAsia="宋体" w:cs="宋体"/>
      <w:sz w:val="20"/>
      <w:szCs w:val="20"/>
      <w:lang w:val="zh-TW" w:eastAsia="zh-TW" w:bidi="zh-TW"/>
    </w:rPr>
  </w:style>
  <w:style w:type="paragraph" w:customStyle="1" w:styleId="17">
    <w:name w:val="Other|1"/>
    <w:basedOn w:val="1"/>
    <w:qFormat/>
    <w:uiPriority w:val="0"/>
    <w:rPr>
      <w:sz w:val="14"/>
      <w:szCs w:val="14"/>
    </w:rPr>
  </w:style>
  <w:style w:type="paragraph" w:customStyle="1" w:styleId="18">
    <w:name w:val="Heading #1|1"/>
    <w:basedOn w:val="1"/>
    <w:qFormat/>
    <w:uiPriority w:val="0"/>
    <w:pPr>
      <w:spacing w:after="200"/>
      <w:jc w:val="center"/>
      <w:outlineLvl w:val="0"/>
    </w:pPr>
    <w:rPr>
      <w:rFonts w:ascii="宋体" w:hAnsi="宋体" w:eastAsia="宋体" w:cs="宋体"/>
      <w:sz w:val="30"/>
      <w:szCs w:val="30"/>
      <w:lang w:val="zh-TW" w:eastAsia="zh-TW" w:bidi="zh-TW"/>
    </w:rPr>
  </w:style>
  <w:style w:type="paragraph" w:customStyle="1" w:styleId="19">
    <w:name w:val="Body text|2"/>
    <w:basedOn w:val="1"/>
    <w:qFormat/>
    <w:uiPriority w:val="0"/>
    <w:pPr>
      <w:spacing w:line="222" w:lineRule="exact"/>
      <w:ind w:firstLine="320"/>
    </w:pPr>
    <w:rPr>
      <w:rFonts w:ascii="宋体" w:hAnsi="宋体" w:eastAsia="宋体" w:cs="宋体"/>
      <w:sz w:val="14"/>
      <w:szCs w:val="14"/>
      <w:lang w:val="zh-TW" w:eastAsia="zh-TW" w:bidi="zh-TW"/>
    </w:rPr>
  </w:style>
  <w:style w:type="table" w:customStyle="1" w:styleId="20">
    <w:name w:val="Table Normal"/>
    <w:semiHidden/>
    <w:unhideWhenUsed/>
    <w:qFormat/>
    <w:uiPriority w:val="0"/>
    <w:tblPr>
      <w:tblCellMar>
        <w:top w:w="0" w:type="dxa"/>
        <w:left w:w="0" w:type="dxa"/>
        <w:bottom w:w="0" w:type="dxa"/>
        <w:right w:w="0" w:type="dxa"/>
      </w:tblCellMar>
    </w:tblPr>
  </w:style>
  <w:style w:type="character" w:customStyle="1" w:styleId="21">
    <w:name w:val="font71"/>
    <w:basedOn w:val="10"/>
    <w:qFormat/>
    <w:uiPriority w:val="0"/>
    <w:rPr>
      <w:rFonts w:hint="default" w:ascii="Times New Roman" w:hAnsi="Times New Roman" w:cs="Times New Roman"/>
      <w:color w:val="000000"/>
      <w:sz w:val="18"/>
      <w:szCs w:val="18"/>
      <w:u w:val="none"/>
    </w:rPr>
  </w:style>
  <w:style w:type="character" w:customStyle="1" w:styleId="22">
    <w:name w:val="font21"/>
    <w:basedOn w:val="10"/>
    <w:qFormat/>
    <w:uiPriority w:val="0"/>
    <w:rPr>
      <w:rFonts w:ascii="仿宋" w:hAnsi="仿宋" w:eastAsia="仿宋" w:cs="仿宋"/>
      <w:color w:val="000000"/>
      <w:sz w:val="20"/>
      <w:szCs w:val="20"/>
      <w:u w:val="none"/>
    </w:rPr>
  </w:style>
  <w:style w:type="character" w:customStyle="1" w:styleId="23">
    <w:name w:val="font51"/>
    <w:basedOn w:val="10"/>
    <w:qFormat/>
    <w:uiPriority w:val="0"/>
    <w:rPr>
      <w:rFonts w:hint="eastAsia" w:ascii="宋体" w:hAnsi="宋体" w:eastAsia="宋体" w:cs="宋体"/>
      <w:color w:val="000000"/>
      <w:sz w:val="20"/>
      <w:szCs w:val="20"/>
      <w:u w:val="none"/>
    </w:rPr>
  </w:style>
  <w:style w:type="character" w:customStyle="1" w:styleId="24">
    <w:name w:val="font11"/>
    <w:basedOn w:val="10"/>
    <w:qFormat/>
    <w:uiPriority w:val="0"/>
    <w:rPr>
      <w:rFonts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44</Pages>
  <Words>20322</Words>
  <Characters>23619</Characters>
  <Lines>209</Lines>
  <Paragraphs>58</Paragraphs>
  <TotalTime>942</TotalTime>
  <ScaleCrop>false</ScaleCrop>
  <LinksUpToDate>false</LinksUpToDate>
  <CharactersWithSpaces>24072</CharactersWithSpaces>
  <Application>WPS Office_6.1.0.8274_F1E327BC-269C-435d-A152-05C5408002CA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2021-12-06T17:07:00Z</dcterms:created>
  <dc:creator>雪之蝎蝎</dc:creator>
  <cp:lastModifiedBy>周玉洁</cp:lastModifiedBy>
  <dcterms:modified xsi:type="dcterms:W3CDTF">2024-07-23T09:27:37Z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2052-6.1.0.8274</vt:lpwstr>
  </property>
  <property fmtid="{D5CDD505-2E9C-101B-9397-08002B2CF9AE}" pid="3" name="ICV">
    <vt:lpwstr>3E7D5DEED0B74C5B9CF80A6306A23151</vt:lpwstr>
  </property>
</Properties>
</file>